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EFE" w:rsidRDefault="00163EFE" w:rsidP="00163EFE">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NR#3</w:t>
      </w:r>
      <w:r w:rsidRPr="00165ED6">
        <w:rPr>
          <w:rFonts w:ascii="Arial" w:hAnsi="Arial"/>
          <w:b/>
          <w:sz w:val="24"/>
          <w:szCs w:val="24"/>
          <w:lang w:eastAsia="zh-CN"/>
        </w:rPr>
        <w:t xml:space="preserve">                            </w:t>
      </w:r>
      <w:r>
        <w:rPr>
          <w:rFonts w:ascii="Arial" w:hAnsi="Arial"/>
          <w:b/>
          <w:sz w:val="24"/>
          <w:szCs w:val="24"/>
          <w:lang w:eastAsia="zh-CN"/>
        </w:rPr>
        <w:t xml:space="preserve">                           </w:t>
      </w:r>
      <w:r>
        <w:rPr>
          <w:rFonts w:ascii="Arial" w:hAnsi="Arial"/>
          <w:b/>
          <w:i/>
          <w:color w:val="FF0000"/>
          <w:sz w:val="24"/>
          <w:szCs w:val="24"/>
          <w:lang w:eastAsia="zh-CN"/>
        </w:rPr>
        <w:tab/>
      </w:r>
      <w:r w:rsidR="005C3394" w:rsidRPr="005C3394">
        <w:rPr>
          <w:rFonts w:ascii="Arial" w:hAnsi="Arial" w:cs="Arial"/>
          <w:b/>
          <w:sz w:val="24"/>
          <w:szCs w:val="24"/>
        </w:rPr>
        <w:t>R4-1709752</w:t>
      </w:r>
      <w:bookmarkStart w:id="0" w:name="_GoBack"/>
      <w:bookmarkEnd w:id="0"/>
    </w:p>
    <w:p w:rsidR="00163EFE" w:rsidRDefault="00163EFE" w:rsidP="00163EFE">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Nagoya</w:t>
      </w:r>
      <w:r w:rsidRPr="004C5B05">
        <w:rPr>
          <w:rFonts w:ascii="Arial" w:hAnsi="Arial"/>
          <w:b/>
          <w:sz w:val="24"/>
          <w:szCs w:val="24"/>
          <w:lang w:eastAsia="zh-CN"/>
        </w:rPr>
        <w:t xml:space="preserve">, </w:t>
      </w:r>
      <w:r>
        <w:rPr>
          <w:rFonts w:ascii="Arial" w:hAnsi="Arial"/>
          <w:b/>
          <w:sz w:val="24"/>
          <w:szCs w:val="24"/>
          <w:lang w:eastAsia="zh-CN"/>
        </w:rPr>
        <w:t>Japan, 18 - 21</w:t>
      </w:r>
      <w:r w:rsidRPr="004C5B05">
        <w:rPr>
          <w:rFonts w:ascii="Arial" w:hAnsi="Arial"/>
          <w:b/>
          <w:sz w:val="24"/>
          <w:szCs w:val="24"/>
          <w:lang w:eastAsia="zh-CN"/>
        </w:rPr>
        <w:t xml:space="preserve"> </w:t>
      </w:r>
      <w:r>
        <w:rPr>
          <w:rFonts w:ascii="Arial" w:hAnsi="Arial"/>
          <w:b/>
          <w:sz w:val="24"/>
          <w:szCs w:val="24"/>
          <w:lang w:eastAsia="zh-CN"/>
        </w:rPr>
        <w:t>September</w:t>
      </w:r>
      <w:r w:rsidRPr="004C5B05">
        <w:rPr>
          <w:rFonts w:ascii="Arial" w:hAnsi="Arial"/>
          <w:b/>
          <w:sz w:val="24"/>
          <w:szCs w:val="24"/>
          <w:lang w:eastAsia="zh-CN"/>
        </w:rPr>
        <w:t xml:space="preserve">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UE reference sensitivity for mmWave 28GHz</w:t>
      </w:r>
    </w:p>
    <w:p w:rsidR="00CA3A81" w:rsidRPr="00F51BE1" w:rsidRDefault="00CA3A81" w:rsidP="00901E90">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163EFE">
        <w:rPr>
          <w:rFonts w:ascii="Arial" w:hAnsi="Arial" w:cs="Arial"/>
          <w:sz w:val="22"/>
          <w:szCs w:val="22"/>
          <w:lang w:val="en-US"/>
        </w:rPr>
        <w:t>3.3.4.1.1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530264" w:rsidRDefault="00530264" w:rsidP="00AC1835">
      <w:pPr>
        <w:pStyle w:val="BodyText"/>
        <w:rPr>
          <w:lang w:val="en-US"/>
        </w:rPr>
      </w:pPr>
      <w:r>
        <w:t>T</w:t>
      </w:r>
      <w:r w:rsidR="009914AF">
        <w:rPr>
          <w:lang w:val="en-US"/>
        </w:rPr>
        <w:t xml:space="preserve">his contribution </w:t>
      </w:r>
      <w:r>
        <w:rPr>
          <w:lang w:val="en-US"/>
        </w:rPr>
        <w:t xml:space="preserve">is a resubmission of </w:t>
      </w:r>
      <w:r w:rsidR="00450F0D">
        <w:rPr>
          <w:lang w:val="en-US"/>
        </w:rPr>
        <w:fldChar w:fldCharType="begin"/>
      </w:r>
      <w:r w:rsidR="00450F0D">
        <w:rPr>
          <w:lang w:val="en-US"/>
        </w:rPr>
        <w:instrText xml:space="preserve"> REF _Ref492896364 \r \h </w:instrText>
      </w:r>
      <w:r w:rsidR="00450F0D">
        <w:rPr>
          <w:lang w:val="en-US"/>
        </w:rPr>
      </w:r>
      <w:r w:rsidR="00450F0D">
        <w:rPr>
          <w:lang w:val="en-US"/>
        </w:rPr>
        <w:fldChar w:fldCharType="separate"/>
      </w:r>
      <w:r w:rsidR="00EB0413">
        <w:rPr>
          <w:lang w:val="en-US"/>
        </w:rPr>
        <w:t>[2]</w:t>
      </w:r>
      <w:r w:rsidR="00450F0D">
        <w:rPr>
          <w:lang w:val="en-US"/>
        </w:rPr>
        <w:fldChar w:fldCharType="end"/>
      </w:r>
      <w:r w:rsidR="00FE16EC">
        <w:rPr>
          <w:lang w:val="en-US"/>
        </w:rPr>
        <w:t xml:space="preserve"> formatted according to WF </w:t>
      </w:r>
      <w:r w:rsidR="00450F0D">
        <w:rPr>
          <w:lang w:val="en-US"/>
        </w:rPr>
        <w:fldChar w:fldCharType="begin"/>
      </w:r>
      <w:r w:rsidR="00450F0D">
        <w:rPr>
          <w:lang w:val="en-US"/>
        </w:rPr>
        <w:instrText xml:space="preserve"> REF _Ref492896371 \r \h </w:instrText>
      </w:r>
      <w:r w:rsidR="00450F0D">
        <w:rPr>
          <w:lang w:val="en-US"/>
        </w:rPr>
      </w:r>
      <w:r w:rsidR="00450F0D">
        <w:rPr>
          <w:lang w:val="en-US"/>
        </w:rPr>
        <w:fldChar w:fldCharType="separate"/>
      </w:r>
      <w:r w:rsidR="00EB0413">
        <w:rPr>
          <w:lang w:val="en-US"/>
        </w:rPr>
        <w:t>[1]</w:t>
      </w:r>
      <w:r w:rsidR="00450F0D">
        <w:rPr>
          <w:lang w:val="en-US"/>
        </w:rPr>
        <w:fldChar w:fldCharType="end"/>
      </w:r>
    </w:p>
    <w:p w:rsidR="00530264" w:rsidRDefault="00530264" w:rsidP="00AC1835">
      <w:pPr>
        <w:pStyle w:val="BodyText"/>
        <w:rPr>
          <w:lang w:val="en-US"/>
        </w:rPr>
      </w:pPr>
    </w:p>
    <w:p w:rsidR="00AC1835" w:rsidRDefault="00982F97" w:rsidP="00AC1835">
      <w:pPr>
        <w:pStyle w:val="BodyText"/>
      </w:pPr>
      <w:r>
        <w:rPr>
          <w:lang w:val="en-US"/>
        </w:rPr>
        <w:t xml:space="preserve">REFSENS for mmWave 28 GHz band will be studied using the antenna configurations presented in </w:t>
      </w:r>
      <w:r>
        <w:rPr>
          <w:lang w:val="en-US"/>
        </w:rPr>
        <w:fldChar w:fldCharType="begin"/>
      </w:r>
      <w:r>
        <w:rPr>
          <w:lang w:val="en-US"/>
        </w:rPr>
        <w:instrText xml:space="preserve"> REF _Ref484077633 \r \h </w:instrText>
      </w:r>
      <w:r>
        <w:rPr>
          <w:lang w:val="en-US"/>
        </w:rPr>
      </w:r>
      <w:r>
        <w:rPr>
          <w:lang w:val="en-US"/>
        </w:rPr>
        <w:fldChar w:fldCharType="separate"/>
      </w:r>
      <w:r w:rsidR="00EB0413">
        <w:rPr>
          <w:lang w:val="en-US"/>
        </w:rPr>
        <w:t>[1]</w:t>
      </w:r>
      <w:r>
        <w:rPr>
          <w:lang w:val="en-US"/>
        </w:rPr>
        <w:fldChar w:fldCharType="end"/>
      </w:r>
      <w:r>
        <w:rPr>
          <w:lang w:val="en-US"/>
        </w:rPr>
        <w:t xml:space="preserve"> as a basis.</w:t>
      </w:r>
      <w:r w:rsidR="00AC1835">
        <w:rPr>
          <w:lang w:val="en-US"/>
        </w:rPr>
        <w:t xml:space="preserve"> </w:t>
      </w:r>
      <w:r w:rsidR="00AC1835">
        <w:t>In this document smart phone</w:t>
      </w:r>
      <w:r w:rsidR="00B20D63">
        <w:t xml:space="preserve"> UE is studied (eMBB use case) i.e. (almost) full sphere coverage is assumed.</w:t>
      </w:r>
    </w:p>
    <w:p w:rsidR="0027589E" w:rsidRDefault="00E551F1" w:rsidP="00DB3F31">
      <w:pPr>
        <w:pStyle w:val="Heading1"/>
        <w:keepLines/>
        <w:pBdr>
          <w:top w:val="single" w:sz="12" w:space="3" w:color="auto"/>
        </w:pBdr>
        <w:overflowPunct w:val="0"/>
        <w:autoSpaceDE w:val="0"/>
        <w:autoSpaceDN w:val="0"/>
        <w:adjustRightInd w:val="0"/>
        <w:spacing w:after="180"/>
        <w:ind w:right="0"/>
        <w:textAlignment w:val="baseline"/>
      </w:pPr>
      <w:bookmarkStart w:id="1" w:name="_Ref484778786"/>
      <w:r>
        <w:t>EIS calculation</w:t>
      </w:r>
      <w:bookmarkEnd w:id="1"/>
    </w:p>
    <w:p w:rsidR="00F15270" w:rsidRDefault="00535233" w:rsidP="009E497A">
      <w:pPr>
        <w:pStyle w:val="BodyText"/>
      </w:pPr>
      <w:r>
        <w:t xml:space="preserve">In order to present the simulated antenna performance in a CDF format expressed in EIS </w:t>
      </w:r>
      <w:r w:rsidR="0078278D">
        <w:t xml:space="preserve">with </w:t>
      </w:r>
      <w:r>
        <w:t xml:space="preserve">[dBm] </w:t>
      </w:r>
      <w:r w:rsidR="0078278D">
        <w:t xml:space="preserve">scale </w:t>
      </w:r>
      <w:r>
        <w:t xml:space="preserve">the receiver performance need to be estimated. </w:t>
      </w:r>
      <w:r w:rsidR="009F7FBE">
        <w:t xml:space="preserve">In </w:t>
      </w:r>
      <w:r w:rsidR="00B777F8">
        <w:fldChar w:fldCharType="begin"/>
      </w:r>
      <w:r w:rsidR="00B777F8">
        <w:instrText xml:space="preserve"> REF _Ref484164001 \r \h </w:instrText>
      </w:r>
      <w:r w:rsidR="00B777F8">
        <w:fldChar w:fldCharType="separate"/>
      </w:r>
      <w:r w:rsidR="00EB0413">
        <w:t>[19]</w:t>
      </w:r>
      <w:r w:rsidR="00B777F8">
        <w:fldChar w:fldCharType="end"/>
      </w:r>
      <w:r w:rsidR="00F15270">
        <w:t xml:space="preserve"> the below equation was proposed</w:t>
      </w:r>
      <w:r w:rsidR="004A1C6E">
        <w:t xml:space="preserve"> to determine </w:t>
      </w:r>
      <w:r w:rsidR="004A1C6E" w:rsidRPr="008346D2">
        <w:rPr>
          <w:i/>
        </w:rPr>
        <w:t>P</w:t>
      </w:r>
      <w:r w:rsidR="004A1C6E" w:rsidRPr="008346D2">
        <w:rPr>
          <w:i/>
          <w:vertAlign w:val="subscript"/>
        </w:rPr>
        <w:t>EIS</w:t>
      </w:r>
      <w:r w:rsidR="0078278D">
        <w:t>:</w:t>
      </w:r>
    </w:p>
    <w:p w:rsidR="0053198E" w:rsidRDefault="00204C78" w:rsidP="009E497A">
      <w:pPr>
        <w:pStyle w:val="BodyText"/>
      </w:pPr>
      <m:oMath>
        <m:sSub>
          <m:sSubPr>
            <m:ctrlPr>
              <w:rPr>
                <w:rFonts w:ascii="Cambria Math" w:hAnsi="Cambria Math"/>
                <w:i/>
                <w:iCs/>
                <w:sz w:val="16"/>
              </w:rPr>
            </m:ctrlPr>
          </m:sSubPr>
          <m:e>
            <m:r>
              <w:rPr>
                <w:rFonts w:ascii="Cambria Math" w:hAnsi="Cambria Math"/>
                <w:sz w:val="16"/>
              </w:rPr>
              <m:t>P</m:t>
            </m:r>
          </m:e>
          <m:sub>
            <m:r>
              <w:rPr>
                <w:rFonts w:ascii="Cambria Math" w:hAnsi="Cambria Math"/>
                <w:sz w:val="16"/>
                <w:vertAlign w:val="subscript"/>
              </w:rPr>
              <m:t>EIS</m:t>
            </m:r>
          </m:sub>
        </m:sSub>
        <m:r>
          <w:rPr>
            <w:rFonts w:ascii="Cambria Math" w:hAnsi="Cambria Math"/>
            <w:sz w:val="16"/>
          </w:rPr>
          <m:t xml:space="preserve">(dBm) = </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t</m:t>
            </m:r>
          </m:sub>
        </m:sSub>
        <m:r>
          <w:rPr>
            <w:rFonts w:ascii="Cambria Math" w:hAnsi="Cambria Math"/>
            <w:sz w:val="16"/>
          </w:rPr>
          <m:t xml:space="preserve"> + 10</m:t>
        </m:r>
        <m:func>
          <m:funcPr>
            <m:ctrlPr>
              <w:rPr>
                <w:rFonts w:ascii="Cambria Math" w:hAnsi="Cambria Math"/>
                <w:i/>
                <w:iCs/>
                <w:sz w:val="16"/>
              </w:rPr>
            </m:ctrlPr>
          </m:funcPr>
          <m:fName>
            <m:sSub>
              <m:sSubPr>
                <m:ctrlPr>
                  <w:rPr>
                    <w:rFonts w:ascii="Cambria Math" w:hAnsi="Cambria Math"/>
                    <w:i/>
                    <w:iCs/>
                    <w:sz w:val="16"/>
                  </w:rPr>
                </m:ctrlPr>
              </m:sSubPr>
              <m:e>
                <m:r>
                  <m:rPr>
                    <m:sty m:val="p"/>
                  </m:rPr>
                  <w:rPr>
                    <w:rFonts w:ascii="Cambria Math" w:hAnsi="Cambria Math"/>
                    <w:sz w:val="16"/>
                  </w:rPr>
                  <m:t>log</m:t>
                </m:r>
              </m:e>
              <m:sub>
                <m:r>
                  <w:rPr>
                    <w:rFonts w:ascii="Cambria Math" w:hAnsi="Cambria Math"/>
                    <w:sz w:val="16"/>
                  </w:rPr>
                  <m:t>10</m:t>
                </m:r>
              </m:sub>
            </m:sSub>
          </m:fName>
          <m:e>
            <m:r>
              <w:rPr>
                <w:rFonts w:ascii="Cambria Math" w:hAnsi="Cambria Math"/>
                <w:sz w:val="16"/>
              </w:rPr>
              <m:t>(BW)</m:t>
            </m:r>
          </m:e>
        </m:func>
        <m:r>
          <w:rPr>
            <w:rFonts w:ascii="Cambria Math" w:hAnsi="Cambria Math"/>
            <w:sz w:val="16"/>
          </w:rPr>
          <m:t xml:space="preserve"> + NF + SNR + Other losses+ margin - array gain + beam pointing loss – diversity gain</m:t>
        </m:r>
      </m:oMath>
      <w:r w:rsidR="004A1C6E">
        <w:t xml:space="preserve"> </w:t>
      </w:r>
    </w:p>
    <w:p w:rsidR="00E551F1" w:rsidRDefault="008346D2" w:rsidP="009E497A">
      <w:pPr>
        <w:pStyle w:val="BodyText"/>
      </w:pPr>
      <w:r>
        <w:t xml:space="preserve">(Note: detailed explanation of respective term is found in </w:t>
      </w:r>
      <w:r>
        <w:fldChar w:fldCharType="begin"/>
      </w:r>
      <w:r>
        <w:instrText xml:space="preserve"> REF _Ref484164001 \r \h </w:instrText>
      </w:r>
      <w:r>
        <w:fldChar w:fldCharType="separate"/>
      </w:r>
      <w:r w:rsidR="00EB0413">
        <w:t>[19]</w:t>
      </w:r>
      <w:r>
        <w:fldChar w:fldCharType="end"/>
      </w:r>
      <w:r>
        <w:t>)</w:t>
      </w:r>
    </w:p>
    <w:p w:rsidR="008346D2" w:rsidRDefault="008346D2" w:rsidP="009E497A">
      <w:pPr>
        <w:pStyle w:val="BodyText"/>
      </w:pPr>
      <w:r>
        <w:t>In this document we will use simulated antenna data and “</w:t>
      </w:r>
      <w:r w:rsidRPr="008346D2">
        <w:rPr>
          <w:i/>
        </w:rPr>
        <w:t>array gain</w:t>
      </w:r>
      <w:r>
        <w:t>”, “</w:t>
      </w:r>
      <w:r w:rsidRPr="008346D2">
        <w:rPr>
          <w:i/>
        </w:rPr>
        <w:t>beam pointing loss</w:t>
      </w:r>
      <w:r>
        <w:t>”</w:t>
      </w:r>
      <w:r w:rsidRPr="008346D2">
        <w:t xml:space="preserve"> </w:t>
      </w:r>
      <w:r>
        <w:t>and “</w:t>
      </w:r>
      <w:r w:rsidRPr="008346D2">
        <w:rPr>
          <w:i/>
        </w:rPr>
        <w:t>diversity gain</w:t>
      </w:r>
      <w:r>
        <w:t>” are included in the simulated “</w:t>
      </w:r>
      <w:r w:rsidRPr="008346D2">
        <w:rPr>
          <w:i/>
        </w:rPr>
        <w:t>antenna gain</w:t>
      </w:r>
      <w:r>
        <w:t>”. Especially “</w:t>
      </w:r>
      <w:r w:rsidRPr="008346D2">
        <w:rPr>
          <w:i/>
        </w:rPr>
        <w:t>diversity gain</w:t>
      </w:r>
      <w:r>
        <w:t>” is included since the simulation i</w:t>
      </w:r>
      <w:r w:rsidR="00DB4821">
        <w:t>s based on maximum ratio combining</w:t>
      </w:r>
      <w:r>
        <w:t xml:space="preserve"> (MRC). </w:t>
      </w:r>
      <w:r w:rsidR="00EA0328">
        <w:t>“</w:t>
      </w:r>
      <w:r w:rsidR="00AC016C" w:rsidRPr="008346D2">
        <w:rPr>
          <w:i/>
        </w:rPr>
        <w:t>Beam</w:t>
      </w:r>
      <w:r w:rsidR="00EA0328" w:rsidRPr="008346D2">
        <w:rPr>
          <w:i/>
        </w:rPr>
        <w:t xml:space="preserve"> pointing loss</w:t>
      </w:r>
      <w:r w:rsidR="00EA0328">
        <w:t>” is included in the simulation since we use a f</w:t>
      </w:r>
      <w:r w:rsidR="007F65DB">
        <w:t xml:space="preserve">inite set of possible beams and the simulation is set up with </w:t>
      </w:r>
      <w:r w:rsidR="00B92ED6">
        <w:t>very dense sampling grid</w:t>
      </w:r>
      <w:r w:rsidR="007F65DB">
        <w:t xml:space="preserve">. Note that for a </w:t>
      </w:r>
      <w:r w:rsidR="00B92ED6">
        <w:t xml:space="preserve">real </w:t>
      </w:r>
      <w:r w:rsidR="007F65DB">
        <w:t>conformance test measurement the number of sampling points need to be further studied in order not to introduce unacceptable measurement errors.</w:t>
      </w:r>
      <w:r w:rsidR="005F2A07">
        <w:t xml:space="preserve"> </w:t>
      </w:r>
      <w:r>
        <w:t>“</w:t>
      </w:r>
      <w:r w:rsidRPr="008346D2">
        <w:rPr>
          <w:i/>
        </w:rPr>
        <w:t>Other losses</w:t>
      </w:r>
      <w:r>
        <w:t xml:space="preserve">” accounts for </w:t>
      </w:r>
      <w:r w:rsidR="004F40FD">
        <w:t>radome losses (plastic losses)</w:t>
      </w:r>
      <w:r w:rsidR="005F2A07">
        <w:t xml:space="preserve">. Radome losses are in the order of [1 – 2] dB. </w:t>
      </w:r>
      <w:r w:rsidR="00B92ED6">
        <w:t xml:space="preserve">We have used </w:t>
      </w:r>
      <w:r w:rsidR="00396233">
        <w:t>2</w:t>
      </w:r>
      <w:r w:rsidR="005F2A07">
        <w:t xml:space="preserve">dB radome losses </w:t>
      </w:r>
      <w:r w:rsidR="00B92ED6">
        <w:t xml:space="preserve">which </w:t>
      </w:r>
      <w:r w:rsidR="005F2A07">
        <w:t>are added to the result.</w:t>
      </w:r>
    </w:p>
    <w:p w:rsidR="00AD09A6" w:rsidRDefault="00906C85" w:rsidP="009E497A">
      <w:pPr>
        <w:pStyle w:val="BodyText"/>
      </w:pPr>
      <w:r>
        <w:t xml:space="preserve">Assuming a </w:t>
      </w:r>
      <w:r w:rsidRPr="00906C85">
        <w:rPr>
          <w:i/>
        </w:rPr>
        <w:t>Nf</w:t>
      </w:r>
      <w:r>
        <w:t xml:space="preserve"> = 10dB, channel </w:t>
      </w:r>
      <w:r w:rsidRPr="00906C85">
        <w:rPr>
          <w:i/>
        </w:rPr>
        <w:t>BW</w:t>
      </w:r>
      <w:r>
        <w:t xml:space="preserve"> </w:t>
      </w:r>
      <w:r w:rsidR="00AD09A6">
        <w:t xml:space="preserve">= </w:t>
      </w:r>
      <w:r w:rsidR="0076219E">
        <w:t xml:space="preserve">100 </w:t>
      </w:r>
      <w:r>
        <w:t>MHz and a minimum</w:t>
      </w:r>
      <w:r w:rsidRPr="00906C85">
        <w:rPr>
          <w:i/>
        </w:rPr>
        <w:t xml:space="preserve"> SNR</w:t>
      </w:r>
      <w:r>
        <w:t xml:space="preserve"> = -3dB (</w:t>
      </w:r>
      <w:r w:rsidR="003159F3">
        <w:t xml:space="preserve">QPSK </w:t>
      </w:r>
      <w:r>
        <w:t>single RX) gives a</w:t>
      </w:r>
      <w:r w:rsidR="00AD09A6">
        <w:t xml:space="preserve"> “conducted” </w:t>
      </w:r>
      <w:r w:rsidR="00AD09A6" w:rsidRPr="00620FD8">
        <w:rPr>
          <w:i/>
        </w:rPr>
        <w:t>P</w:t>
      </w:r>
      <w:r w:rsidR="00AD09A6" w:rsidRPr="00620FD8">
        <w:rPr>
          <w:i/>
          <w:vertAlign w:val="subscript"/>
        </w:rPr>
        <w:t>RX</w:t>
      </w:r>
    </w:p>
    <w:p w:rsidR="00AC016C" w:rsidRDefault="00204C78" w:rsidP="009E497A">
      <w:pPr>
        <w:pStyle w:val="BodyText"/>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 -174dBm+80dB+10dB-3dB+2dB= -85dBm</m:t>
        </m:r>
      </m:oMath>
      <w:r w:rsidR="00AD09A6">
        <w:t xml:space="preserve"> </w:t>
      </w:r>
    </w:p>
    <w:p w:rsidR="00AC016C" w:rsidRDefault="009A6C6B" w:rsidP="009E497A">
      <w:pPr>
        <w:pStyle w:val="BodyText"/>
      </w:pPr>
      <w:r>
        <w:t>Note 1: In order to show expected nominal performance</w:t>
      </w:r>
      <w:r w:rsidR="003159F3">
        <w:t xml:space="preserve"> no</w:t>
      </w:r>
      <w:r>
        <w:t xml:space="preserve"> implementation margin </w:t>
      </w:r>
      <w:r w:rsidR="003159F3">
        <w:t xml:space="preserve">is added. This is otherwise </w:t>
      </w:r>
      <w:r w:rsidR="00396233">
        <w:t>suggested to be 3</w:t>
      </w:r>
      <w:r>
        <w:t>dB</w:t>
      </w:r>
      <w:r w:rsidR="003159F3">
        <w:t>.</w:t>
      </w:r>
    </w:p>
    <w:p w:rsidR="003159F3" w:rsidRDefault="003159F3" w:rsidP="009E497A">
      <w:pPr>
        <w:pStyle w:val="BodyText"/>
      </w:pPr>
      <w:r>
        <w:t xml:space="preserve">Note 2: </w:t>
      </w:r>
      <w:r w:rsidRPr="00620FD8">
        <w:rPr>
          <w:i/>
        </w:rPr>
        <w:t>P</w:t>
      </w:r>
      <w:r w:rsidRPr="00620FD8">
        <w:rPr>
          <w:i/>
          <w:vertAlign w:val="subscript"/>
        </w:rPr>
        <w:t>RX</w:t>
      </w:r>
      <w:r>
        <w:t xml:space="preserve"> for other </w:t>
      </w:r>
      <w:r w:rsidRPr="003159F3">
        <w:rPr>
          <w:i/>
        </w:rPr>
        <w:t>BW</w:t>
      </w:r>
      <w:r w:rsidR="0076219E">
        <w:t xml:space="preserve"> than 100</w:t>
      </w:r>
      <w:r>
        <w:t xml:space="preserve"> MHz is obtained by scaling.</w:t>
      </w:r>
    </w:p>
    <w:p w:rsidR="009B693A" w:rsidRDefault="009B693A" w:rsidP="009B693A">
      <w:pPr>
        <w:pStyle w:val="Heading2"/>
      </w:pPr>
      <w:r w:rsidRPr="005051F5">
        <w:rPr>
          <w:lang w:val="en-US"/>
        </w:rPr>
        <w:t xml:space="preserve">Maximum ratio </w:t>
      </w:r>
      <w:r>
        <w:t>combining</w:t>
      </w:r>
      <w:r>
        <w:rPr>
          <w:lang w:val="en-US"/>
        </w:rPr>
        <w:t xml:space="preserve"> </w:t>
      </w:r>
      <w:r w:rsidRPr="005051F5">
        <w:rPr>
          <w:lang w:val="en-US"/>
        </w:rPr>
        <w:t>(MRC)</w:t>
      </w:r>
      <w:r w:rsidRPr="005051F5">
        <w:t xml:space="preserve"> </w:t>
      </w:r>
    </w:p>
    <w:p w:rsidR="009B693A" w:rsidRDefault="009B693A" w:rsidP="009B693A">
      <w:pPr>
        <w:pStyle w:val="BodyText"/>
      </w:pPr>
      <w:r>
        <w:t xml:space="preserve">According to WF </w:t>
      </w:r>
      <w:r>
        <w:fldChar w:fldCharType="begin"/>
      </w:r>
      <w:r>
        <w:instrText xml:space="preserve"> REF _Ref484009895 \r \h </w:instrText>
      </w:r>
      <w:r>
        <w:fldChar w:fldCharType="separate"/>
      </w:r>
      <w:r w:rsidR="00EB0413">
        <w:t>[18]</w:t>
      </w:r>
      <w:r>
        <w:fldChar w:fldCharType="end"/>
      </w:r>
      <w:r>
        <w:t xml:space="preserve"> REFSENS shall be based on maximum ratio combining (MRC). For </w:t>
      </w:r>
      <w:r w:rsidR="00B20D63">
        <w:t>UE2 s</w:t>
      </w:r>
      <w:r>
        <w:t>witched diversity is assumed where the two best beams from top/left pair or bottom/right pair dipole arrays</w:t>
      </w:r>
      <w:r w:rsidR="00B20D63">
        <w:t xml:space="preserve"> are maximum ratio combined</w:t>
      </w:r>
      <w:r>
        <w:t xml:space="preserve">. </w:t>
      </w:r>
      <w:r w:rsidR="00B20D63">
        <w:t xml:space="preserve">For UE1 </w:t>
      </w:r>
      <w:r w:rsidR="00B20D63">
        <w:t xml:space="preserve">switched diversity </w:t>
      </w:r>
      <w:r w:rsidR="00B20D63">
        <w:t xml:space="preserve">where the best beam </w:t>
      </w:r>
      <w:r w:rsidR="00B20D63">
        <w:t>from front or backside patch panel</w:t>
      </w:r>
      <w:r w:rsidR="00B20D63">
        <w:t xml:space="preserve"> is assumed. A fix diversity gain of 2.2 dB is added.</w:t>
      </w:r>
    </w:p>
    <w:p w:rsidR="009B693A" w:rsidRDefault="009B693A" w:rsidP="009B693A">
      <w:pPr>
        <w:pStyle w:val="Heading2"/>
      </w:pPr>
      <w:bookmarkStart w:id="2" w:name="_Ref492913000"/>
      <w:r>
        <w:t>Implementation margin</w:t>
      </w:r>
      <w:bookmarkEnd w:id="2"/>
    </w:p>
    <w:p w:rsidR="009B693A" w:rsidRPr="009B693A" w:rsidRDefault="00FD65D1" w:rsidP="009B693A">
      <w:pPr>
        <w:pStyle w:val="BodyText"/>
      </w:pPr>
      <w:r>
        <w:rPr>
          <w:lang w:val="en-US"/>
        </w:rPr>
        <w:t>Example values for REFSENS should include some implementation margin.</w:t>
      </w:r>
      <w:r>
        <w:rPr>
          <w:lang w:val="en-US"/>
        </w:rPr>
        <w:t xml:space="preserve"> In the below calculation we use 3dB which accounts for phase shifter implementation loss and channel estimation implementation loss. Ohmic losses e.g. due to radome is included in “other losses”</w:t>
      </w:r>
      <w:r w:rsidR="00FF1571">
        <w:rPr>
          <w:lang w:val="en-US"/>
        </w:rPr>
        <w:t xml:space="preserve"> as described above</w:t>
      </w:r>
      <w:r>
        <w:rPr>
          <w:lang w:val="en-US"/>
        </w:rPr>
        <w:t>.</w:t>
      </w:r>
      <w:r w:rsidR="0076330D">
        <w:rPr>
          <w:lang w:val="en-US"/>
        </w:rPr>
        <w:t xml:space="preserve"> Gain variation over the frequency band was studied in </w:t>
      </w:r>
      <w:r w:rsidR="00EB0413">
        <w:rPr>
          <w:lang w:val="en-US"/>
        </w:rPr>
        <w:fldChar w:fldCharType="begin"/>
      </w:r>
      <w:r w:rsidR="00EB0413">
        <w:rPr>
          <w:lang w:val="en-US"/>
        </w:rPr>
        <w:instrText xml:space="preserve"> REF _Ref492913746 \r \h </w:instrText>
      </w:r>
      <w:r w:rsidR="00EB0413">
        <w:rPr>
          <w:lang w:val="en-US"/>
        </w:rPr>
      </w:r>
      <w:r w:rsidR="00EB0413">
        <w:rPr>
          <w:lang w:val="en-US"/>
        </w:rPr>
        <w:fldChar w:fldCharType="separate"/>
      </w:r>
      <w:r w:rsidR="00EB0413">
        <w:rPr>
          <w:lang w:val="en-US"/>
        </w:rPr>
        <w:t>[11]</w:t>
      </w:r>
      <w:r w:rsidR="00EB0413">
        <w:rPr>
          <w:lang w:val="en-US"/>
        </w:rPr>
        <w:fldChar w:fldCharType="end"/>
      </w:r>
      <w:r w:rsidR="00EB0413">
        <w:rPr>
          <w:lang w:val="en-US"/>
        </w:rPr>
        <w:t xml:space="preserve"> and the estimation is 2dB for the patch array and 1dB for the dipole array</w:t>
      </w:r>
      <w:r w:rsidR="00FF1571">
        <w:rPr>
          <w:lang w:val="en-US"/>
        </w:rPr>
        <w:t xml:space="preserve"> in the 28GHz band</w:t>
      </w:r>
      <w:r w:rsidR="00EB0413">
        <w:rPr>
          <w:lang w:val="en-US"/>
        </w:rPr>
        <w:t>.</w:t>
      </w:r>
    </w:p>
    <w:p w:rsidR="009B693A" w:rsidRDefault="009B693A" w:rsidP="009B693A">
      <w:pPr>
        <w:pStyle w:val="Heading2"/>
      </w:pPr>
      <w:r>
        <w:lastRenderedPageBreak/>
        <w:t xml:space="preserve">Summary of </w:t>
      </w:r>
      <w:r w:rsidRPr="00F16094">
        <w:rPr>
          <w:lang w:val="en-US"/>
        </w:rPr>
        <w:t>hand</w:t>
      </w:r>
      <w:r>
        <w:t xml:space="preserve"> calculations</w:t>
      </w:r>
    </w:p>
    <w:p w:rsidR="009B693A" w:rsidRPr="00F16094" w:rsidRDefault="009B693A" w:rsidP="009B693A">
      <w:pPr>
        <w:pStyle w:val="BodyText"/>
      </w:pPr>
      <w:r>
        <w:t xml:space="preserve">Summary of hand calculations are found in </w:t>
      </w:r>
      <w:r w:rsidR="00FD65D1">
        <w:fldChar w:fldCharType="begin"/>
      </w:r>
      <w:r w:rsidR="00FD65D1">
        <w:instrText xml:space="preserve"> REF _Ref492912457 \h </w:instrText>
      </w:r>
      <w:r w:rsidR="00FD65D1">
        <w:fldChar w:fldCharType="separate"/>
      </w:r>
      <w:r w:rsidR="00EB0413">
        <w:t xml:space="preserve">Table </w:t>
      </w:r>
      <w:r w:rsidR="00EB0413">
        <w:rPr>
          <w:noProof/>
        </w:rPr>
        <w:t>1</w:t>
      </w:r>
      <w:r w:rsidR="00FD65D1">
        <w:fldChar w:fldCharType="end"/>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00"/>
        <w:gridCol w:w="840"/>
        <w:gridCol w:w="1440"/>
        <w:gridCol w:w="1440"/>
      </w:tblGrid>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b/>
                <w:bCs/>
                <w:sz w:val="18"/>
              </w:rPr>
              <w:t>Parameter</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b/>
                <w:bCs/>
                <w:sz w:val="18"/>
              </w:rPr>
              <w:t>Unit</w:t>
            </w:r>
          </w:p>
        </w:tc>
        <w:tc>
          <w:tcPr>
            <w:tcW w:w="1440" w:type="dxa"/>
          </w:tcPr>
          <w:p w:rsidR="009B693A" w:rsidRPr="00304C48" w:rsidRDefault="009B693A" w:rsidP="008306D4">
            <w:pPr>
              <w:pStyle w:val="BodyText"/>
              <w:spacing w:after="60"/>
              <w:jc w:val="center"/>
              <w:rPr>
                <w:b/>
                <w:bCs/>
                <w:sz w:val="18"/>
              </w:rPr>
            </w:pPr>
            <w:r w:rsidRPr="00304C48">
              <w:rPr>
                <w:b/>
                <w:bCs/>
                <w:sz w:val="18"/>
              </w:rPr>
              <w:t>UE1</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sidRPr="00304C48">
              <w:rPr>
                <w:b/>
                <w:bCs/>
                <w:sz w:val="18"/>
              </w:rPr>
              <w:t>UE2</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sidRPr="00304C48">
              <w:rPr>
                <w:sz w:val="18"/>
              </w:rPr>
              <w:t>Transmission BW</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sidRPr="00304C48">
              <w:rPr>
                <w:sz w:val="18"/>
              </w:rPr>
              <w:t>MHz</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100</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sidRPr="00304C48">
              <w:rPr>
                <w:sz w:val="18"/>
                <w:lang w:val="en-US"/>
              </w:rPr>
              <w:t>100</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sidRPr="00304C48">
              <w:rPr>
                <w:sz w:val="18"/>
              </w:rPr>
              <w:t>NF</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Pr>
                <w:sz w:val="18"/>
              </w:rPr>
              <w:t>dB</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10</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sidRPr="00304C48">
              <w:rPr>
                <w:sz w:val="18"/>
                <w:lang w:val="en-US"/>
              </w:rPr>
              <w:t>10</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sidRPr="00304C48">
              <w:rPr>
                <w:sz w:val="18"/>
              </w:rPr>
              <w:t>Other losses</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Pr>
                <w:sz w:val="18"/>
              </w:rPr>
              <w:t>dB</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2</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sidRPr="00304C48">
              <w:rPr>
                <w:sz w:val="18"/>
                <w:lang w:val="en-US"/>
              </w:rPr>
              <w:t>2</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sidRPr="00304C48">
              <w:rPr>
                <w:sz w:val="18"/>
              </w:rPr>
              <w:t>Required SNR (QPSK single RX)</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Pr>
                <w:sz w:val="18"/>
              </w:rPr>
              <w:t>dB</w:t>
            </w:r>
          </w:p>
        </w:tc>
        <w:tc>
          <w:tcPr>
            <w:tcW w:w="1440" w:type="dxa"/>
          </w:tcPr>
          <w:p w:rsidR="009B693A" w:rsidRPr="00304C48" w:rsidRDefault="009B693A" w:rsidP="008306D4">
            <w:pPr>
              <w:pStyle w:val="BodyText"/>
              <w:spacing w:after="60"/>
              <w:jc w:val="center"/>
              <w:rPr>
                <w:sz w:val="18"/>
                <w:lang w:val="en-US"/>
              </w:rPr>
            </w:pPr>
            <w:r>
              <w:rPr>
                <w:sz w:val="18"/>
                <w:lang w:val="en-US"/>
              </w:rPr>
              <w:t>-3</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Pr>
                <w:sz w:val="18"/>
                <w:lang w:val="en-US"/>
              </w:rPr>
              <w:t>-3</w:t>
            </w:r>
          </w:p>
        </w:tc>
      </w:tr>
      <w:tr w:rsidR="009B693A" w:rsidRPr="00304C48" w:rsidTr="008306D4">
        <w:tc>
          <w:tcPr>
            <w:tcW w:w="5300" w:type="dxa"/>
            <w:shd w:val="clear" w:color="auto" w:fill="auto"/>
            <w:tcMar>
              <w:top w:w="15" w:type="dxa"/>
              <w:left w:w="108" w:type="dxa"/>
              <w:bottom w:w="0" w:type="dxa"/>
              <w:right w:w="108" w:type="dxa"/>
            </w:tcMar>
          </w:tcPr>
          <w:p w:rsidR="009B693A" w:rsidRDefault="009B693A" w:rsidP="008306D4">
            <w:pPr>
              <w:pStyle w:val="BodyText"/>
              <w:spacing w:after="60"/>
              <w:rPr>
                <w:sz w:val="18"/>
              </w:rPr>
            </w:pPr>
            <w:r>
              <w:rPr>
                <w:sz w:val="18"/>
              </w:rPr>
              <w:t>“Conducted” sensitivity (single RX)</w:t>
            </w:r>
          </w:p>
        </w:tc>
        <w:tc>
          <w:tcPr>
            <w:tcW w:w="840" w:type="dxa"/>
            <w:shd w:val="clear" w:color="auto" w:fill="auto"/>
            <w:tcMar>
              <w:top w:w="15" w:type="dxa"/>
              <w:left w:w="108" w:type="dxa"/>
              <w:bottom w:w="0" w:type="dxa"/>
              <w:right w:w="108" w:type="dxa"/>
            </w:tcMar>
          </w:tcPr>
          <w:p w:rsidR="009B693A" w:rsidRDefault="009B693A" w:rsidP="008306D4">
            <w:pPr>
              <w:pStyle w:val="BodyText"/>
              <w:spacing w:after="60"/>
              <w:rPr>
                <w:sz w:val="18"/>
              </w:rPr>
            </w:pPr>
            <w:r>
              <w:rPr>
                <w:sz w:val="18"/>
              </w:rPr>
              <w:t>dBm</w:t>
            </w:r>
          </w:p>
        </w:tc>
        <w:tc>
          <w:tcPr>
            <w:tcW w:w="1440" w:type="dxa"/>
          </w:tcPr>
          <w:p w:rsidR="009B693A" w:rsidRDefault="009B693A" w:rsidP="008306D4">
            <w:pPr>
              <w:pStyle w:val="BodyText"/>
              <w:spacing w:after="60"/>
              <w:jc w:val="center"/>
              <w:rPr>
                <w:sz w:val="18"/>
                <w:lang w:val="en-US"/>
              </w:rPr>
            </w:pPr>
            <w:r>
              <w:rPr>
                <w:sz w:val="18"/>
                <w:lang w:val="en-US"/>
              </w:rPr>
              <w:t>-85</w:t>
            </w:r>
          </w:p>
        </w:tc>
        <w:tc>
          <w:tcPr>
            <w:tcW w:w="1440" w:type="dxa"/>
            <w:shd w:val="clear" w:color="auto" w:fill="auto"/>
            <w:tcMar>
              <w:top w:w="15" w:type="dxa"/>
              <w:left w:w="108" w:type="dxa"/>
              <w:bottom w:w="0" w:type="dxa"/>
              <w:right w:w="108" w:type="dxa"/>
            </w:tcMar>
          </w:tcPr>
          <w:p w:rsidR="009B693A" w:rsidRDefault="009B693A" w:rsidP="008306D4">
            <w:pPr>
              <w:pStyle w:val="BodyText"/>
              <w:spacing w:after="60"/>
              <w:jc w:val="center"/>
              <w:rPr>
                <w:sz w:val="18"/>
                <w:lang w:val="en-US"/>
              </w:rPr>
            </w:pPr>
            <w:r>
              <w:rPr>
                <w:sz w:val="18"/>
                <w:lang w:val="en-US"/>
              </w:rPr>
              <w:t>-85</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Pr>
                <w:sz w:val="18"/>
              </w:rPr>
              <w:t>Diversity gain</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rPr>
            </w:pPr>
            <w:r>
              <w:rPr>
                <w:sz w:val="18"/>
              </w:rPr>
              <w:t>dB</w:t>
            </w:r>
          </w:p>
        </w:tc>
        <w:tc>
          <w:tcPr>
            <w:tcW w:w="1440" w:type="dxa"/>
          </w:tcPr>
          <w:p w:rsidR="009B693A" w:rsidRPr="00304C48" w:rsidRDefault="009B693A" w:rsidP="008306D4">
            <w:pPr>
              <w:pStyle w:val="BodyText"/>
              <w:spacing w:after="60"/>
              <w:jc w:val="center"/>
              <w:rPr>
                <w:sz w:val="18"/>
                <w:lang w:val="en-US"/>
              </w:rPr>
            </w:pPr>
            <w:r>
              <w:rPr>
                <w:sz w:val="18"/>
                <w:lang w:val="en-US"/>
              </w:rPr>
              <w:t>2.2</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Pr>
                <w:sz w:val="18"/>
                <w:lang w:val="en-US"/>
              </w:rPr>
              <w:t>1.5</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Number of antenna elements in an array</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 </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4</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sidRPr="00304C48">
              <w:rPr>
                <w:sz w:val="18"/>
                <w:lang w:val="en-US"/>
              </w:rPr>
              <w:t>4</w:t>
            </w:r>
          </w:p>
        </w:tc>
      </w:tr>
      <w:tr w:rsidR="009B693A" w:rsidRPr="00304C48" w:rsidTr="008306D4">
        <w:tc>
          <w:tcPr>
            <w:tcW w:w="530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lang w:val="en-US"/>
              </w:rPr>
            </w:pPr>
            <w:r w:rsidRPr="00304C48">
              <w:rPr>
                <w:sz w:val="18"/>
              </w:rPr>
              <w:t>Effective BF gain</w:t>
            </w:r>
          </w:p>
        </w:tc>
        <w:tc>
          <w:tcPr>
            <w:tcW w:w="840" w:type="dxa"/>
            <w:shd w:val="clear" w:color="auto" w:fill="auto"/>
            <w:tcMar>
              <w:top w:w="15" w:type="dxa"/>
              <w:left w:w="108" w:type="dxa"/>
              <w:bottom w:w="0" w:type="dxa"/>
              <w:right w:w="108" w:type="dxa"/>
            </w:tcMar>
          </w:tcPr>
          <w:p w:rsidR="009B693A" w:rsidRPr="00304C48" w:rsidRDefault="009B693A" w:rsidP="008306D4">
            <w:pPr>
              <w:pStyle w:val="BodyText"/>
              <w:spacing w:after="60"/>
              <w:rPr>
                <w:sz w:val="18"/>
                <w:lang w:val="en-US"/>
              </w:rPr>
            </w:pPr>
            <w:r w:rsidRPr="00304C48">
              <w:rPr>
                <w:sz w:val="18"/>
              </w:rPr>
              <w:t>dB</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6</w:t>
            </w:r>
          </w:p>
        </w:tc>
        <w:tc>
          <w:tcPr>
            <w:tcW w:w="1440" w:type="dxa"/>
            <w:shd w:val="clear" w:color="auto" w:fill="auto"/>
            <w:tcMar>
              <w:top w:w="15" w:type="dxa"/>
              <w:left w:w="108" w:type="dxa"/>
              <w:bottom w:w="0" w:type="dxa"/>
              <w:right w:w="108" w:type="dxa"/>
            </w:tcMar>
          </w:tcPr>
          <w:p w:rsidR="009B693A" w:rsidRPr="00304C48" w:rsidRDefault="009B693A" w:rsidP="008306D4">
            <w:pPr>
              <w:pStyle w:val="BodyText"/>
              <w:spacing w:after="60"/>
              <w:jc w:val="center"/>
              <w:rPr>
                <w:sz w:val="18"/>
                <w:lang w:val="en-US"/>
              </w:rPr>
            </w:pPr>
            <w:r w:rsidRPr="00304C48">
              <w:rPr>
                <w:sz w:val="18"/>
                <w:lang w:val="en-US"/>
              </w:rPr>
              <w:t>6</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lang w:val="en-US"/>
              </w:rPr>
              <w:t>Number of antenna arrays in the UE</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p>
        </w:tc>
        <w:tc>
          <w:tcPr>
            <w:tcW w:w="1440" w:type="dxa"/>
          </w:tcPr>
          <w:p w:rsidR="009B693A" w:rsidRPr="00304C48" w:rsidRDefault="009B693A" w:rsidP="008306D4">
            <w:pPr>
              <w:pStyle w:val="BodyText"/>
              <w:spacing w:after="60"/>
              <w:jc w:val="center"/>
              <w:rPr>
                <w:sz w:val="18"/>
                <w:lang w:val="en-US"/>
              </w:rPr>
            </w:pPr>
            <w:r w:rsidRPr="00304C48">
              <w:rPr>
                <w:sz w:val="18"/>
                <w:lang w:val="en-US"/>
              </w:rPr>
              <w:t>2</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sidRPr="00304C48">
              <w:rPr>
                <w:sz w:val="18"/>
                <w:lang w:val="en-US"/>
              </w:rPr>
              <w:t>4</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Single element gain</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dBi</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5</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sidRPr="00304C48">
              <w:rPr>
                <w:sz w:val="18"/>
                <w:lang w:val="en-US"/>
              </w:rPr>
              <w:t>3</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Gain variation with frequency</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dB</w:t>
            </w:r>
          </w:p>
        </w:tc>
        <w:tc>
          <w:tcPr>
            <w:tcW w:w="1440" w:type="dxa"/>
          </w:tcPr>
          <w:p w:rsidR="009B693A" w:rsidRPr="00304C48" w:rsidRDefault="009B693A" w:rsidP="008306D4">
            <w:pPr>
              <w:pStyle w:val="BodyText"/>
              <w:spacing w:after="60"/>
              <w:jc w:val="center"/>
              <w:rPr>
                <w:sz w:val="18"/>
                <w:lang w:val="en-US"/>
              </w:rPr>
            </w:pPr>
            <w:r w:rsidRPr="00304C48">
              <w:rPr>
                <w:sz w:val="18"/>
                <w:lang w:val="en-US"/>
              </w:rPr>
              <w:t>2</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sidRPr="00304C48">
              <w:rPr>
                <w:sz w:val="18"/>
                <w:lang w:val="en-US"/>
              </w:rPr>
              <w:t>1</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Pr>
                <w:sz w:val="18"/>
              </w:rPr>
              <w:t>I</w:t>
            </w:r>
            <w:r w:rsidRPr="00304C48">
              <w:rPr>
                <w:sz w:val="18"/>
              </w:rPr>
              <w:t>mplementation loss</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dB</w:t>
            </w:r>
          </w:p>
        </w:tc>
        <w:tc>
          <w:tcPr>
            <w:tcW w:w="1440" w:type="dxa"/>
          </w:tcPr>
          <w:p w:rsidR="009B693A" w:rsidRPr="00304C48" w:rsidRDefault="009B693A" w:rsidP="008306D4">
            <w:pPr>
              <w:pStyle w:val="BodyText"/>
              <w:spacing w:after="60"/>
              <w:jc w:val="center"/>
              <w:rPr>
                <w:sz w:val="18"/>
                <w:lang w:val="en-US"/>
              </w:rPr>
            </w:pPr>
            <w:r>
              <w:rPr>
                <w:sz w:val="18"/>
                <w:lang w:val="en-US"/>
              </w:rPr>
              <w:t>3</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Pr>
                <w:sz w:val="18"/>
                <w:lang w:val="en-US"/>
              </w:rPr>
              <w:t>3</w:t>
            </w:r>
          </w:p>
        </w:tc>
      </w:tr>
      <w:tr w:rsidR="009B693A" w:rsidRPr="00304C48" w:rsidTr="008306D4">
        <w:tc>
          <w:tcPr>
            <w:tcW w:w="530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Sensitivity EIS (bore sight)</w:t>
            </w:r>
          </w:p>
        </w:tc>
        <w:tc>
          <w:tcPr>
            <w:tcW w:w="840" w:type="dxa"/>
            <w:shd w:val="clear" w:color="auto" w:fill="auto"/>
            <w:tcMar>
              <w:top w:w="15" w:type="dxa"/>
              <w:left w:w="108" w:type="dxa"/>
              <w:bottom w:w="0" w:type="dxa"/>
              <w:right w:w="108" w:type="dxa"/>
            </w:tcMar>
            <w:hideMark/>
          </w:tcPr>
          <w:p w:rsidR="009B693A" w:rsidRPr="00304C48" w:rsidRDefault="009B693A" w:rsidP="008306D4">
            <w:pPr>
              <w:pStyle w:val="BodyText"/>
              <w:spacing w:after="60"/>
              <w:rPr>
                <w:sz w:val="18"/>
                <w:lang w:val="en-US"/>
              </w:rPr>
            </w:pPr>
            <w:r w:rsidRPr="00304C48">
              <w:rPr>
                <w:sz w:val="18"/>
              </w:rPr>
              <w:t>dBm</w:t>
            </w:r>
          </w:p>
        </w:tc>
        <w:tc>
          <w:tcPr>
            <w:tcW w:w="1440" w:type="dxa"/>
          </w:tcPr>
          <w:p w:rsidR="009B693A" w:rsidRPr="00304C48" w:rsidRDefault="009B693A" w:rsidP="008306D4">
            <w:pPr>
              <w:pStyle w:val="BodyText"/>
              <w:spacing w:after="60"/>
              <w:jc w:val="center"/>
              <w:rPr>
                <w:sz w:val="18"/>
                <w:lang w:val="en-US"/>
              </w:rPr>
            </w:pPr>
            <w:r>
              <w:rPr>
                <w:sz w:val="18"/>
                <w:lang w:val="en-US"/>
              </w:rPr>
              <w:t>-93</w:t>
            </w:r>
          </w:p>
        </w:tc>
        <w:tc>
          <w:tcPr>
            <w:tcW w:w="1440" w:type="dxa"/>
            <w:shd w:val="clear" w:color="auto" w:fill="auto"/>
            <w:tcMar>
              <w:top w:w="15" w:type="dxa"/>
              <w:left w:w="108" w:type="dxa"/>
              <w:bottom w:w="0" w:type="dxa"/>
              <w:right w:w="108" w:type="dxa"/>
            </w:tcMar>
            <w:hideMark/>
          </w:tcPr>
          <w:p w:rsidR="009B693A" w:rsidRPr="00304C48" w:rsidRDefault="009B693A" w:rsidP="008306D4">
            <w:pPr>
              <w:pStyle w:val="BodyText"/>
              <w:spacing w:after="60"/>
              <w:jc w:val="center"/>
              <w:rPr>
                <w:sz w:val="18"/>
                <w:lang w:val="en-US"/>
              </w:rPr>
            </w:pPr>
            <w:r>
              <w:rPr>
                <w:sz w:val="18"/>
                <w:lang w:val="en-US"/>
              </w:rPr>
              <w:t>-91</w:t>
            </w:r>
          </w:p>
        </w:tc>
      </w:tr>
    </w:tbl>
    <w:p w:rsidR="009B693A" w:rsidRDefault="009B693A" w:rsidP="009B693A">
      <w:pPr>
        <w:pStyle w:val="Caption"/>
        <w:jc w:val="center"/>
      </w:pPr>
      <w:bookmarkStart w:id="3" w:name="_Ref492912457"/>
      <w:r>
        <w:t xml:space="preserve">Table </w:t>
      </w:r>
      <w:r>
        <w:fldChar w:fldCharType="begin"/>
      </w:r>
      <w:r>
        <w:instrText xml:space="preserve"> SEQ Table \* ARABIC </w:instrText>
      </w:r>
      <w:r>
        <w:fldChar w:fldCharType="separate"/>
      </w:r>
      <w:r w:rsidR="00EB0413">
        <w:rPr>
          <w:noProof/>
        </w:rPr>
        <w:t>1</w:t>
      </w:r>
      <w:r>
        <w:fldChar w:fldCharType="end"/>
      </w:r>
      <w:bookmarkEnd w:id="3"/>
      <w:r>
        <w:t>. Summary of hand calculations 100MHz transmission BW</w:t>
      </w:r>
    </w:p>
    <w:p w:rsidR="00BB0EB2" w:rsidRDefault="000B6745" w:rsidP="001C3C8E">
      <w:pPr>
        <w:pStyle w:val="Heading1"/>
        <w:keepLines/>
        <w:pBdr>
          <w:top w:val="single" w:sz="12" w:space="3" w:color="auto"/>
        </w:pBdr>
        <w:overflowPunct w:val="0"/>
        <w:autoSpaceDE w:val="0"/>
        <w:autoSpaceDN w:val="0"/>
        <w:adjustRightInd w:val="0"/>
        <w:spacing w:after="180"/>
        <w:ind w:right="0"/>
        <w:textAlignment w:val="baseline"/>
      </w:pPr>
      <w:r>
        <w:t>Simulation setup</w:t>
      </w:r>
    </w:p>
    <w:p w:rsidR="005A0701" w:rsidRDefault="005271CA" w:rsidP="00A10D85">
      <w:pPr>
        <w:pStyle w:val="BodyText"/>
      </w:pPr>
      <w:r>
        <w:t>The same</w:t>
      </w:r>
      <w:r w:rsidR="002C797F">
        <w:t xml:space="preserve"> two </w:t>
      </w:r>
      <w:r w:rsidR="003D1192">
        <w:t xml:space="preserve">hybrid beamforming cases </w:t>
      </w:r>
      <w:r>
        <w:t xml:space="preserve">as used in </w:t>
      </w:r>
      <w:r w:rsidR="00450ECF">
        <w:fldChar w:fldCharType="begin"/>
      </w:r>
      <w:r w:rsidR="00450ECF">
        <w:instrText xml:space="preserve"> REF _Ref490207608 \n \h </w:instrText>
      </w:r>
      <w:r w:rsidR="00450ECF">
        <w:fldChar w:fldCharType="separate"/>
      </w:r>
      <w:r w:rsidR="00EB0413">
        <w:t>[9]</w:t>
      </w:r>
      <w:r w:rsidR="00450ECF">
        <w:fldChar w:fldCharType="end"/>
      </w:r>
      <w:r>
        <w:t xml:space="preserve"> </w:t>
      </w:r>
      <w:r w:rsidR="00D75322">
        <w:t xml:space="preserve">are simulated, </w:t>
      </w:r>
      <w:r w:rsidR="007E2FBC">
        <w:t xml:space="preserve">each having total </w:t>
      </w:r>
      <w:r w:rsidR="004D62AF">
        <w:t>16</w:t>
      </w:r>
      <w:r w:rsidR="000B6745">
        <w:t xml:space="preserve"> </w:t>
      </w:r>
      <w:r w:rsidR="003D1192">
        <w:t xml:space="preserve">antenna </w:t>
      </w:r>
      <w:r w:rsidR="004D62AF">
        <w:t>ports</w:t>
      </w:r>
      <w:r w:rsidR="003D1192">
        <w:t xml:space="preserve"> and two digital ports</w:t>
      </w:r>
      <w:r w:rsidR="00A10D85">
        <w:t>.</w:t>
      </w:r>
      <w:r w:rsidR="007E2FBC">
        <w:t xml:space="preserve"> </w:t>
      </w:r>
      <w:r w:rsidR="003D1192">
        <w:t>Beamforming use 4 element/ports for each polarization</w:t>
      </w:r>
      <w:r w:rsidR="00145C1A">
        <w:t xml:space="preserve">. </w:t>
      </w:r>
      <w:r w:rsidR="007E2FBC">
        <w:t>The a</w:t>
      </w:r>
      <w:r w:rsidR="00510A53">
        <w:t>ntennas investigated are</w:t>
      </w:r>
      <w:r w:rsidR="00D75322">
        <w:t xml:space="preserve"> examples of potential configurations</w:t>
      </w:r>
      <w:r w:rsidR="00510A53">
        <w:t>:</w:t>
      </w:r>
    </w:p>
    <w:p w:rsidR="00A10D85" w:rsidRDefault="007E2FBC" w:rsidP="00600469">
      <w:pPr>
        <w:pStyle w:val="BodyText"/>
        <w:numPr>
          <w:ilvl w:val="0"/>
          <w:numId w:val="10"/>
        </w:numPr>
      </w:pPr>
      <w:r>
        <w:t xml:space="preserve">Two </w:t>
      </w:r>
      <w:r w:rsidR="00A10D85">
        <w:t xml:space="preserve">2x2 </w:t>
      </w:r>
      <w:r w:rsidR="004D62AF">
        <w:t xml:space="preserve">dual polarized patch </w:t>
      </w:r>
      <w:r w:rsidR="00A10D85">
        <w:t>matrix</w:t>
      </w:r>
      <w:r>
        <w:t>es</w:t>
      </w:r>
      <w:r w:rsidR="00A10D85">
        <w:t>.</w:t>
      </w:r>
      <w:r>
        <w:t xml:space="preserve"> One on front of smart phone and one on rear side.</w:t>
      </w:r>
      <w:r w:rsidR="000B6745">
        <w:t xml:space="preserve"> </w:t>
      </w:r>
      <w:r w:rsidR="004D62AF">
        <w:t>Total 16 ports.</w:t>
      </w:r>
    </w:p>
    <w:p w:rsidR="00A10D85" w:rsidRDefault="00683D98" w:rsidP="00600469">
      <w:pPr>
        <w:pStyle w:val="BodyText"/>
        <w:numPr>
          <w:ilvl w:val="0"/>
          <w:numId w:val="10"/>
        </w:numPr>
      </w:pPr>
      <w:r>
        <w:t>Four</w:t>
      </w:r>
      <w:r w:rsidR="000D50A0">
        <w:t xml:space="preserve"> 4x1</w:t>
      </w:r>
      <w:r w:rsidR="00A10D85">
        <w:t xml:space="preserve"> linear arrays. </w:t>
      </w:r>
      <w:r w:rsidR="007E2FBC">
        <w:t xml:space="preserve">One on </w:t>
      </w:r>
      <w:r>
        <w:t xml:space="preserve">each side of </w:t>
      </w:r>
      <w:r w:rsidR="007E2FBC">
        <w:t xml:space="preserve">the side of the smartphone. </w:t>
      </w:r>
      <w:r w:rsidR="00A10D85">
        <w:t xml:space="preserve">Antenna elements are </w:t>
      </w:r>
      <w:r>
        <w:t xml:space="preserve">edge mounted </w:t>
      </w:r>
      <w:r w:rsidR="00584F54">
        <w:t xml:space="preserve">single polarized </w:t>
      </w:r>
      <w:r w:rsidR="00A10D85">
        <w:t>dipole antennas.</w:t>
      </w:r>
      <w:r w:rsidR="004D62AF">
        <w:t xml:space="preserve"> Total 16 ports</w:t>
      </w:r>
    </w:p>
    <w:p w:rsidR="005051F5" w:rsidRDefault="005051F5" w:rsidP="00092B8A">
      <w:pPr>
        <w:pStyle w:val="BodyText"/>
      </w:pPr>
      <w:r>
        <w:t xml:space="preserve">Each array is assumed to have 5 discrete possible beam settings (lookup table phase shifter). </w:t>
      </w:r>
      <w:r w:rsidR="006F1C1B">
        <w:t xml:space="preserve">The simulation is done </w:t>
      </w:r>
      <w:r w:rsidR="007E2FBC">
        <w:t>in free space</w:t>
      </w:r>
      <w:r w:rsidR="006F1C1B">
        <w:t>.</w:t>
      </w:r>
      <w:r w:rsidR="003D1192">
        <w:t xml:space="preserve"> </w:t>
      </w:r>
      <w:r w:rsidR="00DC25C2">
        <w:t>Perfect polarization match is assumed between base station and UE antennas</w:t>
      </w:r>
      <w:r w:rsidR="00EF20A4">
        <w:t xml:space="preserve"> (i.e. base station is assumed to have dual polarized antennas)</w:t>
      </w:r>
      <w:r w:rsidR="00DC25C2">
        <w:t>.</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9D6550" w:rsidRDefault="00AB6494" w:rsidP="009D6550">
      <w:pPr>
        <w:pStyle w:val="Heading2"/>
        <w:rPr>
          <w:lang w:val="en-US"/>
        </w:rPr>
      </w:pPr>
      <w:r>
        <w:rPr>
          <w:lang w:val="en-US"/>
        </w:rPr>
        <w:t>Scan pattern</w:t>
      </w:r>
    </w:p>
    <w:p w:rsidR="009D6550" w:rsidRDefault="009D6550" w:rsidP="009D6550">
      <w:pPr>
        <w:pStyle w:val="BodyText"/>
        <w:rPr>
          <w:lang w:val="en-US"/>
        </w:rPr>
      </w:pPr>
      <w:r>
        <w:rPr>
          <w:lang w:val="en-US"/>
        </w:rPr>
        <w:t xml:space="preserve">Maximum ratio </w:t>
      </w:r>
      <w:r w:rsidR="00DB4821">
        <w:t>combining</w:t>
      </w:r>
      <w:r>
        <w:rPr>
          <w:lang w:val="en-US"/>
        </w:rPr>
        <w:t xml:space="preserve"> </w:t>
      </w:r>
      <w:r w:rsidR="00AB6494">
        <w:rPr>
          <w:lang w:val="en-US"/>
        </w:rPr>
        <w:t xml:space="preserve">scan </w:t>
      </w:r>
      <w:r>
        <w:rPr>
          <w:lang w:val="en-US"/>
        </w:rPr>
        <w:t xml:space="preserve">pattern for patch arrays (UE1) </w:t>
      </w:r>
      <w:r w:rsidR="00AB6494">
        <w:rPr>
          <w:lang w:val="en-US"/>
        </w:rPr>
        <w:t xml:space="preserve">is shown in </w:t>
      </w:r>
      <w:r w:rsidR="00AB6494">
        <w:rPr>
          <w:lang w:val="en-US"/>
        </w:rPr>
        <w:fldChar w:fldCharType="begin"/>
      </w:r>
      <w:r w:rsidR="00AB6494">
        <w:rPr>
          <w:lang w:val="en-US"/>
        </w:rPr>
        <w:instrText xml:space="preserve"> REF _Ref481593092 \h </w:instrText>
      </w:r>
      <w:r w:rsidR="00AB6494">
        <w:rPr>
          <w:lang w:val="en-US"/>
        </w:rPr>
      </w:r>
      <w:r w:rsidR="00AB6494">
        <w:rPr>
          <w:lang w:val="en-US"/>
        </w:rPr>
        <w:fldChar w:fldCharType="separate"/>
      </w:r>
      <w:r w:rsidR="00EB0413">
        <w:t xml:space="preserve">Figure </w:t>
      </w:r>
      <w:r w:rsidR="00EB0413">
        <w:rPr>
          <w:noProof/>
        </w:rPr>
        <w:t>1</w:t>
      </w:r>
      <w:r w:rsidR="00AB6494">
        <w:rPr>
          <w:lang w:val="en-US"/>
        </w:rPr>
        <w:fldChar w:fldCharType="end"/>
      </w:r>
      <w:r w:rsidR="00AB6494">
        <w:rPr>
          <w:lang w:val="en-US"/>
        </w:rPr>
        <w:t xml:space="preserve"> </w:t>
      </w:r>
      <w:r>
        <w:rPr>
          <w:lang w:val="en-US"/>
        </w:rPr>
        <w:t xml:space="preserve">and </w:t>
      </w:r>
      <w:r w:rsidR="00AB6494">
        <w:rPr>
          <w:lang w:val="en-US"/>
        </w:rPr>
        <w:t xml:space="preserve">for dipole arrays (UE2) in </w:t>
      </w:r>
      <w:r w:rsidR="00AB6494">
        <w:rPr>
          <w:lang w:val="en-US"/>
        </w:rPr>
        <w:fldChar w:fldCharType="begin"/>
      </w:r>
      <w:r w:rsidR="00AB6494">
        <w:rPr>
          <w:lang w:val="en-US"/>
        </w:rPr>
        <w:instrText xml:space="preserve"> REF _Ref481593166 \h </w:instrText>
      </w:r>
      <w:r w:rsidR="00AB6494">
        <w:rPr>
          <w:lang w:val="en-US"/>
        </w:rPr>
      </w:r>
      <w:r w:rsidR="00AB6494">
        <w:rPr>
          <w:lang w:val="en-US"/>
        </w:rPr>
        <w:fldChar w:fldCharType="separate"/>
      </w:r>
      <w:r w:rsidR="00EB0413">
        <w:t xml:space="preserve">Figure </w:t>
      </w:r>
      <w:r w:rsidR="00EB0413">
        <w:rPr>
          <w:noProof/>
        </w:rPr>
        <w:t>2</w:t>
      </w:r>
      <w:r w:rsidR="00AB6494">
        <w:rPr>
          <w:lang w:val="en-US"/>
        </w:rPr>
        <w:fldChar w:fldCharType="end"/>
      </w:r>
      <w:r w:rsidR="00AB6494">
        <w:rPr>
          <w:lang w:val="en-US"/>
        </w:rPr>
        <w:t>.</w:t>
      </w:r>
      <w:r>
        <w:rPr>
          <w:lang w:val="en-US"/>
        </w:rPr>
        <w:t xml:space="preserve"> For the maximum ratio </w:t>
      </w:r>
      <w:r w:rsidR="00DB4821">
        <w:t>combining</w:t>
      </w:r>
      <w:r>
        <w:rPr>
          <w:lang w:val="en-US"/>
        </w:rPr>
        <w:t xml:space="preserve"> two </w:t>
      </w:r>
      <w:r w:rsidR="004F7D39">
        <w:rPr>
          <w:lang w:val="en-US"/>
        </w:rPr>
        <w:t xml:space="preserve">beams, one in each polarization, </w:t>
      </w:r>
      <w:r>
        <w:rPr>
          <w:lang w:val="en-US"/>
        </w:rPr>
        <w:t xml:space="preserve">are received and combined in the baseband. </w:t>
      </w:r>
      <w:r w:rsidR="00FF1571">
        <w:rPr>
          <w:lang w:val="en-US"/>
        </w:rPr>
        <w:t xml:space="preserve">This is similar to rank1 diversity in legacy LTE. </w:t>
      </w:r>
      <w:r w:rsidR="00FF1571">
        <w:rPr>
          <w:lang w:val="en-US"/>
        </w:rPr>
        <w:t xml:space="preserve">For UE1 single polarization is simulated and a polarization gain of 2.2dB is added. </w:t>
      </w:r>
    </w:p>
    <w:p w:rsidR="00543A1F" w:rsidRDefault="00697C3A" w:rsidP="00697C3A">
      <w:pPr>
        <w:pStyle w:val="Caption"/>
        <w:jc w:val="center"/>
      </w:pPr>
      <w:r>
        <w:rPr>
          <w:noProof/>
          <w:lang w:val="en-US" w:eastAsia="ja-JP"/>
        </w:rPr>
        <w:drawing>
          <wp:inline distT="0" distB="0" distL="0" distR="0" wp14:anchorId="486B8CF7">
            <wp:extent cx="2012315" cy="169057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 t="3541" r="827" b="-21730"/>
                    <a:stretch/>
                  </pic:blipFill>
                  <pic:spPr bwMode="auto">
                    <a:xfrm>
                      <a:off x="0" y="0"/>
                      <a:ext cx="2033163" cy="1708092"/>
                    </a:xfrm>
                    <a:prstGeom prst="rect">
                      <a:avLst/>
                    </a:prstGeom>
                    <a:noFill/>
                    <a:ln>
                      <a:noFill/>
                    </a:ln>
                    <a:extLst>
                      <a:ext uri="{53640926-AAD7-44D8-BBD7-CCE9431645EC}">
                        <a14:shadowObscured xmlns:a14="http://schemas.microsoft.com/office/drawing/2010/main"/>
                      </a:ext>
                    </a:extLst>
                  </pic:spPr>
                </pic:pic>
              </a:graphicData>
            </a:graphic>
          </wp:inline>
        </w:drawing>
      </w:r>
      <w:r w:rsidR="009D6550" w:rsidRPr="006E6AD1">
        <w:rPr>
          <w:b w:val="0"/>
          <w:bCs w:val="0"/>
          <w:noProof/>
          <w:lang w:val="en-US" w:eastAsia="ja-JP"/>
        </w:rPr>
        <w:t xml:space="preserve"> </w:t>
      </w:r>
      <w:r w:rsidR="000C5DE2">
        <w:rPr>
          <w:b w:val="0"/>
          <w:bCs w:val="0"/>
          <w:noProof/>
          <w:lang w:val="en-US" w:eastAsia="ja-JP"/>
        </w:rPr>
        <w:drawing>
          <wp:inline distT="0" distB="0" distL="0" distR="0" wp14:anchorId="1C835EB4">
            <wp:extent cx="3572539" cy="1965507"/>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2427" cy="1976449"/>
                    </a:xfrm>
                    <a:prstGeom prst="rect">
                      <a:avLst/>
                    </a:prstGeom>
                    <a:noFill/>
                  </pic:spPr>
                </pic:pic>
              </a:graphicData>
            </a:graphic>
          </wp:inline>
        </w:drawing>
      </w:r>
    </w:p>
    <w:p w:rsidR="00543A1F" w:rsidRDefault="00543A1F" w:rsidP="00697C3A">
      <w:pPr>
        <w:pStyle w:val="Caption"/>
        <w:jc w:val="center"/>
      </w:pPr>
    </w:p>
    <w:p w:rsidR="002D4F0A" w:rsidRDefault="00543A1F" w:rsidP="00543A1F">
      <w:pPr>
        <w:pStyle w:val="Caption"/>
        <w:jc w:val="center"/>
        <w:rPr>
          <w:lang w:val="en-US"/>
        </w:rPr>
      </w:pPr>
      <w:bookmarkStart w:id="4" w:name="_Ref481593092"/>
      <w:r>
        <w:t xml:space="preserve">Figure </w:t>
      </w:r>
      <w:r w:rsidR="00204C78">
        <w:fldChar w:fldCharType="begin"/>
      </w:r>
      <w:r w:rsidR="00204C78">
        <w:instrText xml:space="preserve"> SEQ Figure \* ARABIC </w:instrText>
      </w:r>
      <w:r w:rsidR="00204C78">
        <w:fldChar w:fldCharType="separate"/>
      </w:r>
      <w:r w:rsidR="00EB0413">
        <w:rPr>
          <w:noProof/>
        </w:rPr>
        <w:t>1</w:t>
      </w:r>
      <w:r w:rsidR="00204C78">
        <w:rPr>
          <w:noProof/>
        </w:rPr>
        <w:fldChar w:fldCharType="end"/>
      </w:r>
      <w:bookmarkEnd w:id="4"/>
      <w:r>
        <w:t xml:space="preserve">. </w:t>
      </w:r>
      <w:r w:rsidR="0022444D">
        <w:rPr>
          <w:lang w:val="en-US"/>
        </w:rPr>
        <w:t xml:space="preserve">Maximum ratio </w:t>
      </w:r>
      <w:r w:rsidR="00DB4821">
        <w:t>combining</w:t>
      </w:r>
      <w:r w:rsidR="0022444D">
        <w:rPr>
          <w:lang w:val="en-US"/>
        </w:rPr>
        <w:t xml:space="preserve"> pattern for</w:t>
      </w:r>
      <w:r w:rsidR="00697C3A">
        <w:rPr>
          <w:lang w:val="en-US"/>
        </w:rPr>
        <w:t xml:space="preserve"> </w:t>
      </w:r>
      <w:r w:rsidR="000C5DE2">
        <w:rPr>
          <w:lang w:val="en-US"/>
        </w:rPr>
        <w:t xml:space="preserve">the </w:t>
      </w:r>
      <w:r w:rsidR="00697C3A">
        <w:rPr>
          <w:lang w:val="en-US"/>
        </w:rPr>
        <w:t>patch antenna arrays</w:t>
      </w:r>
      <w:r w:rsidR="000C5DE2">
        <w:rPr>
          <w:lang w:val="en-US"/>
        </w:rPr>
        <w:t>, 5 beams per array</w:t>
      </w:r>
      <w:r w:rsidR="002E0C85">
        <w:rPr>
          <w:lang w:val="en-US"/>
        </w:rPr>
        <w:t xml:space="preserve"> (UE 1)</w:t>
      </w:r>
      <w:r w:rsidR="00697C3A">
        <w:rPr>
          <w:lang w:val="en-US"/>
        </w:rPr>
        <w:t>.</w:t>
      </w:r>
    </w:p>
    <w:p w:rsidR="00697C3A" w:rsidRDefault="00697C3A" w:rsidP="00697C3A">
      <w:pPr>
        <w:pStyle w:val="Heading2"/>
        <w:numPr>
          <w:ilvl w:val="0"/>
          <w:numId w:val="0"/>
        </w:numPr>
        <w:rPr>
          <w:lang w:val="en-US"/>
        </w:rPr>
      </w:pPr>
    </w:p>
    <w:p w:rsidR="00697C3A" w:rsidRDefault="00450ECF" w:rsidP="00697C3A">
      <w:pPr>
        <w:pStyle w:val="BodyText"/>
        <w:rPr>
          <w:lang w:val="en-US"/>
        </w:rPr>
      </w:pPr>
      <w:r>
        <w:rPr>
          <w:noProof/>
          <w:lang w:val="en-US" w:eastAsia="ja-JP"/>
        </w:rPr>
        <w:drawing>
          <wp:inline distT="0" distB="0" distL="0" distR="0" wp14:anchorId="415BD85E">
            <wp:extent cx="2185264" cy="1834220"/>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412"/>
                    <a:stretch/>
                  </pic:blipFill>
                  <pic:spPr bwMode="auto">
                    <a:xfrm>
                      <a:off x="0" y="0"/>
                      <a:ext cx="2223723" cy="1866501"/>
                    </a:xfrm>
                    <a:prstGeom prst="rect">
                      <a:avLst/>
                    </a:prstGeom>
                    <a:noFill/>
                    <a:ln>
                      <a:noFill/>
                    </a:ln>
                    <a:extLst>
                      <a:ext uri="{53640926-AAD7-44D8-BBD7-CCE9431645EC}">
                        <a14:shadowObscured xmlns:a14="http://schemas.microsoft.com/office/drawing/2010/main"/>
                      </a:ext>
                    </a:extLst>
                  </pic:spPr>
                </pic:pic>
              </a:graphicData>
            </a:graphic>
          </wp:inline>
        </w:drawing>
      </w:r>
      <w:r w:rsidR="000C5DE2">
        <w:rPr>
          <w:noProof/>
          <w:lang w:val="en-US" w:eastAsia="ja-JP"/>
        </w:rPr>
        <w:drawing>
          <wp:inline distT="0" distB="0" distL="0" distR="0" wp14:anchorId="32EB6725">
            <wp:extent cx="3653011" cy="199961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3136" r="-1"/>
                    <a:stretch/>
                  </pic:blipFill>
                  <pic:spPr bwMode="auto">
                    <a:xfrm>
                      <a:off x="0" y="0"/>
                      <a:ext cx="3664445" cy="2005874"/>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Default="002E0C85" w:rsidP="000C311A">
      <w:pPr>
        <w:pStyle w:val="Caption"/>
        <w:jc w:val="center"/>
        <w:rPr>
          <w:lang w:val="en-US"/>
        </w:rPr>
      </w:pPr>
      <w:bookmarkStart w:id="5" w:name="_Ref481593166"/>
      <w:r>
        <w:t xml:space="preserve">Figure </w:t>
      </w:r>
      <w:r w:rsidR="00204C78">
        <w:fldChar w:fldCharType="begin"/>
      </w:r>
      <w:r w:rsidR="00204C78">
        <w:instrText xml:space="preserve"> SEQ Figure \* ARABIC </w:instrText>
      </w:r>
      <w:r w:rsidR="00204C78">
        <w:fldChar w:fldCharType="separate"/>
      </w:r>
      <w:r w:rsidR="00EB0413">
        <w:rPr>
          <w:noProof/>
        </w:rPr>
        <w:t>2</w:t>
      </w:r>
      <w:r w:rsidR="00204C78">
        <w:rPr>
          <w:noProof/>
        </w:rPr>
        <w:fldChar w:fldCharType="end"/>
      </w:r>
      <w:bookmarkEnd w:id="5"/>
      <w:r w:rsidR="000C311A">
        <w:t xml:space="preserve">. </w:t>
      </w:r>
      <w:r w:rsidR="0022444D">
        <w:rPr>
          <w:lang w:val="en-US"/>
        </w:rPr>
        <w:t xml:space="preserve">Maximum ratio </w:t>
      </w:r>
      <w:r w:rsidR="00DB4821">
        <w:t>combining</w:t>
      </w:r>
      <w:r w:rsidR="0022444D">
        <w:rPr>
          <w:lang w:val="en-US"/>
        </w:rPr>
        <w:t xml:space="preserve"> pattern for</w:t>
      </w:r>
      <w:r>
        <w:rPr>
          <w:lang w:val="en-US"/>
        </w:rPr>
        <w:t xml:space="preserve"> </w:t>
      </w:r>
      <w:r w:rsidR="000C5DE2">
        <w:rPr>
          <w:lang w:val="en-US"/>
        </w:rPr>
        <w:t xml:space="preserve">the </w:t>
      </w:r>
      <w:r w:rsidR="000C311A">
        <w:rPr>
          <w:lang w:val="en-US"/>
        </w:rPr>
        <w:t>linear dipole arrays</w:t>
      </w:r>
      <w:r w:rsidR="000C5DE2">
        <w:rPr>
          <w:lang w:val="en-US"/>
        </w:rPr>
        <w:t>, 5 beams per array</w:t>
      </w:r>
      <w:r w:rsidR="000C311A">
        <w:rPr>
          <w:lang w:val="en-US"/>
        </w:rPr>
        <w:t xml:space="preserve"> (UE 2</w:t>
      </w:r>
      <w:r>
        <w:rPr>
          <w:lang w:val="en-US"/>
        </w:rPr>
        <w:t>).</w:t>
      </w:r>
    </w:p>
    <w:p w:rsidR="00543A1F" w:rsidRPr="00543A1F" w:rsidRDefault="00543A1F" w:rsidP="00543A1F">
      <w:pPr>
        <w:rPr>
          <w:lang w:val="en-US"/>
        </w:rPr>
      </w:pPr>
    </w:p>
    <w:p w:rsidR="002D4F0A" w:rsidRPr="00AB6494" w:rsidRDefault="00AB6494" w:rsidP="00AB6494">
      <w:pPr>
        <w:pStyle w:val="Heading2"/>
      </w:pPr>
      <w:r>
        <w:rPr>
          <w:lang w:val="en-US"/>
        </w:rPr>
        <w:t>EIS</w:t>
      </w:r>
    </w:p>
    <w:p w:rsidR="004F7D39" w:rsidRDefault="00B234C4" w:rsidP="00ED1CBD">
      <w:pPr>
        <w:pStyle w:val="BodyText"/>
        <w:rPr>
          <w:lang w:val="en-US"/>
        </w:rPr>
      </w:pPr>
      <w:r>
        <w:rPr>
          <w:lang w:val="en-US"/>
        </w:rPr>
        <w:t xml:space="preserve">The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EB0413">
        <w:t xml:space="preserve">Figure </w:t>
      </w:r>
      <w:r w:rsidR="00EB0413">
        <w:rPr>
          <w:noProof/>
        </w:rPr>
        <w:t>3</w:t>
      </w:r>
      <w:r w:rsidR="00BB4A23">
        <w:rPr>
          <w:lang w:val="en-US"/>
        </w:rPr>
        <w:fldChar w:fldCharType="end"/>
      </w:r>
      <w:r w:rsidR="00BB4A23">
        <w:rPr>
          <w:lang w:val="en-US"/>
        </w:rPr>
        <w:t xml:space="preserve">, </w:t>
      </w:r>
      <w:r>
        <w:rPr>
          <w:lang w:val="en-US"/>
        </w:rPr>
        <w:t>using the assumption made in</w:t>
      </w:r>
      <w:r w:rsidR="00BB4A23">
        <w:rPr>
          <w:lang w:val="en-US"/>
        </w:rPr>
        <w:t xml:space="preserve"> chapter </w:t>
      </w:r>
      <w:r w:rsidR="00BB4A23">
        <w:rPr>
          <w:lang w:val="en-US"/>
        </w:rPr>
        <w:fldChar w:fldCharType="begin"/>
      </w:r>
      <w:r w:rsidR="00BB4A23">
        <w:rPr>
          <w:lang w:val="en-US"/>
        </w:rPr>
        <w:instrText xml:space="preserve"> REF _Ref484778786 \r \h </w:instrText>
      </w:r>
      <w:r w:rsidR="00BB4A23">
        <w:rPr>
          <w:lang w:val="en-US"/>
        </w:rPr>
      </w:r>
      <w:r w:rsidR="00BB4A23">
        <w:rPr>
          <w:lang w:val="en-US"/>
        </w:rPr>
        <w:fldChar w:fldCharType="separate"/>
      </w:r>
      <w:r w:rsidR="00EB0413">
        <w:rPr>
          <w:lang w:val="en-US"/>
        </w:rPr>
        <w:t>2</w:t>
      </w:r>
      <w:r w:rsidR="00BB4A23">
        <w:rPr>
          <w:lang w:val="en-US"/>
        </w:rPr>
        <w:fldChar w:fldCharType="end"/>
      </w:r>
      <w:r w:rsidR="00BB4A23">
        <w:rPr>
          <w:lang w:val="en-US"/>
        </w:rPr>
        <w:t xml:space="preserve"> regarding conducted </w:t>
      </w:r>
      <w:r w:rsidR="004F7D39">
        <w:rPr>
          <w:lang w:val="en-US"/>
        </w:rPr>
        <w:t>sensitivity</w:t>
      </w:r>
      <w:r w:rsidR="00BB4A23">
        <w:rPr>
          <w:lang w:val="en-US"/>
        </w:rPr>
        <w:t xml:space="preserve"> and 100MHz BW.</w:t>
      </w:r>
      <w:r w:rsidR="003A3E8C">
        <w:rPr>
          <w:lang w:val="en-US"/>
        </w:rPr>
        <w:t xml:space="preserve"> Again it could be seen both antenna configurations have it</w:t>
      </w:r>
      <w:r w:rsidR="000B3615">
        <w:rPr>
          <w:lang w:val="en-US"/>
        </w:rPr>
        <w:t>s</w:t>
      </w:r>
      <w:r w:rsidR="003A3E8C">
        <w:rPr>
          <w:lang w:val="en-US"/>
        </w:rPr>
        <w:t xml:space="preserve"> pros and cons. </w:t>
      </w:r>
      <w:r w:rsidR="00F66A16">
        <w:rPr>
          <w:lang w:val="en-US"/>
        </w:rPr>
        <w:t>M</w:t>
      </w:r>
      <w:r w:rsidR="003A3E8C">
        <w:rPr>
          <w:lang w:val="en-US"/>
        </w:rPr>
        <w:t>any more antenna configurations</w:t>
      </w:r>
      <w:r w:rsidR="00F66A16">
        <w:rPr>
          <w:lang w:val="en-US"/>
        </w:rPr>
        <w:t>,</w:t>
      </w:r>
      <w:r w:rsidR="003A3E8C">
        <w:rPr>
          <w:lang w:val="en-US"/>
        </w:rPr>
        <w:t xml:space="preserve"> including combinations of patches and dipoles</w:t>
      </w:r>
      <w:r w:rsidR="00F66A16">
        <w:rPr>
          <w:lang w:val="en-US"/>
        </w:rPr>
        <w:t>,</w:t>
      </w:r>
      <w:r w:rsidR="003A3E8C">
        <w:rPr>
          <w:lang w:val="en-US"/>
        </w:rPr>
        <w:t xml:space="preserve"> </w:t>
      </w:r>
      <w:r w:rsidR="00F66A16">
        <w:rPr>
          <w:lang w:val="en-US"/>
        </w:rPr>
        <w:t xml:space="preserve">could be possible </w:t>
      </w:r>
      <w:r w:rsidR="003A3E8C">
        <w:rPr>
          <w:lang w:val="en-US"/>
        </w:rPr>
        <w:t>but in this document we want to show the general principles</w:t>
      </w:r>
      <w:r w:rsidR="00F66A16">
        <w:rPr>
          <w:lang w:val="en-US"/>
        </w:rPr>
        <w:t xml:space="preserve"> with text book antennas</w:t>
      </w:r>
      <w:r w:rsidR="003A3E8C">
        <w:rPr>
          <w:lang w:val="en-US"/>
        </w:rPr>
        <w:t>.</w:t>
      </w:r>
      <w:r w:rsidR="00E15D36">
        <w:rPr>
          <w:lang w:val="en-US"/>
        </w:rPr>
        <w:t xml:space="preserve"> </w:t>
      </w:r>
      <w:r w:rsidR="0079799B">
        <w:rPr>
          <w:lang w:val="en-US"/>
        </w:rPr>
        <w:t xml:space="preserve">Note that the CDF in </w:t>
      </w:r>
      <w:r w:rsidR="0079799B">
        <w:rPr>
          <w:lang w:val="en-US"/>
        </w:rPr>
        <w:fldChar w:fldCharType="begin"/>
      </w:r>
      <w:r w:rsidR="0079799B">
        <w:rPr>
          <w:lang w:val="en-US"/>
        </w:rPr>
        <w:instrText xml:space="preserve"> REF _Ref484778645 \h </w:instrText>
      </w:r>
      <w:r w:rsidR="0079799B">
        <w:rPr>
          <w:lang w:val="en-US"/>
        </w:rPr>
      </w:r>
      <w:r w:rsidR="0079799B">
        <w:rPr>
          <w:lang w:val="en-US"/>
        </w:rPr>
        <w:fldChar w:fldCharType="separate"/>
      </w:r>
      <w:r w:rsidR="00EB0413">
        <w:t xml:space="preserve">Figure </w:t>
      </w:r>
      <w:r w:rsidR="00EB0413">
        <w:rPr>
          <w:noProof/>
        </w:rPr>
        <w:t>3</w:t>
      </w:r>
      <w:r w:rsidR="0079799B">
        <w:rPr>
          <w:lang w:val="en-US"/>
        </w:rPr>
        <w:fldChar w:fldCharType="end"/>
      </w:r>
      <w:r w:rsidR="0079799B">
        <w:rPr>
          <w:lang w:val="en-US"/>
        </w:rPr>
        <w:t xml:space="preserve"> shows simulated performance without any implementation margin </w:t>
      </w:r>
      <w:r w:rsidR="00BD42A8">
        <w:rPr>
          <w:lang w:val="en-US"/>
        </w:rPr>
        <w:t xml:space="preserve">or gain variation over frequency </w:t>
      </w:r>
      <w:r w:rsidR="0079799B">
        <w:rPr>
          <w:lang w:val="en-US"/>
        </w:rPr>
        <w:t>added.</w:t>
      </w:r>
    </w:p>
    <w:p w:rsidR="006C5B76" w:rsidRDefault="006C5B76" w:rsidP="006C5B76">
      <w:pPr>
        <w:pStyle w:val="Heading2"/>
        <w:numPr>
          <w:ilvl w:val="2"/>
          <w:numId w:val="8"/>
        </w:numPr>
        <w:rPr>
          <w:lang w:val="en-US"/>
        </w:rPr>
      </w:pPr>
      <w:r>
        <w:rPr>
          <w:lang w:val="en-US"/>
        </w:rPr>
        <w:t>CDF percentile values for REFSENS specification</w:t>
      </w:r>
    </w:p>
    <w:p w:rsidR="002D7149" w:rsidRDefault="002D7149" w:rsidP="002D7149">
      <w:pPr>
        <w:pStyle w:val="BodyText"/>
        <w:rPr>
          <w:lang w:val="en-US"/>
        </w:rPr>
      </w:pPr>
      <w:r>
        <w:rPr>
          <w:lang w:val="en-US"/>
        </w:rPr>
        <w:t>Firstly the spread over the CDF curve is considered. The value for the 10% percentile in the CDF (refers to almost b</w:t>
      </w:r>
      <w:r w:rsidR="009B693A">
        <w:rPr>
          <w:lang w:val="en-US"/>
        </w:rPr>
        <w:t>oresight direction) would be -97</w:t>
      </w:r>
      <w:r>
        <w:rPr>
          <w:lang w:val="en-US"/>
        </w:rPr>
        <w:t>dBm for UE1 and -95dBm for UE2. The values for the 80% percentile (refer</w:t>
      </w:r>
      <w:r w:rsidR="009B693A">
        <w:rPr>
          <w:lang w:val="en-US"/>
        </w:rPr>
        <w:t>s to almost full sphere) are -89</w:t>
      </w:r>
      <w:r>
        <w:rPr>
          <w:lang w:val="en-US"/>
        </w:rPr>
        <w:t>dBm for UE1 and -92dBm for UE2. Considering to small delta between the 10% and the 80% percentiles there is no need to define requirement for more than two percentiles.</w:t>
      </w:r>
      <w:r w:rsidRPr="0079799B">
        <w:rPr>
          <w:lang w:val="en-US"/>
        </w:rPr>
        <w:t xml:space="preserve"> </w:t>
      </w:r>
    </w:p>
    <w:p w:rsidR="002D7149" w:rsidRPr="006C5B76" w:rsidRDefault="002D7149" w:rsidP="002D7149">
      <w:pPr>
        <w:pStyle w:val="BodyText"/>
        <w:rPr>
          <w:b/>
        </w:rPr>
      </w:pPr>
      <w:r w:rsidRPr="00525B2A">
        <w:rPr>
          <w:b/>
        </w:rPr>
        <w:t>Observation 1: There is no need to specify REFSENS for more than two percentile points.</w:t>
      </w:r>
      <w:r>
        <w:rPr>
          <w:b/>
        </w:rPr>
        <w:t xml:space="preserve"> </w:t>
      </w:r>
    </w:p>
    <w:p w:rsidR="002D7149" w:rsidRPr="00371BAD" w:rsidRDefault="002D7149" w:rsidP="002D7149">
      <w:pPr>
        <w:pStyle w:val="BodyText"/>
        <w:rPr>
          <w:lang w:val="en-US"/>
        </w:rPr>
      </w:pPr>
      <w:r w:rsidRPr="00371BAD">
        <w:rPr>
          <w:lang w:val="en-US"/>
        </w:rPr>
        <w:t xml:space="preserve">The </w:t>
      </w:r>
      <w:r>
        <w:rPr>
          <w:lang w:val="en-US"/>
        </w:rPr>
        <w:t>10% (or 20%) percentile in the CDF refers to almost boresight direction and is essential for link budget estimations and need to be specified. In this sense we think 10% percentile is better to specify. There will probably also be an advantage in verification/test methods by specifying 10% percentile over specifying the 20% percentile.</w:t>
      </w:r>
    </w:p>
    <w:p w:rsidR="002D7149" w:rsidRPr="001C5553" w:rsidRDefault="002D7149" w:rsidP="002D7149">
      <w:pPr>
        <w:pStyle w:val="BodyText"/>
        <w:rPr>
          <w:b/>
          <w:lang w:val="en-US"/>
        </w:rPr>
      </w:pPr>
      <w:r>
        <w:t>The 80% (or 9</w:t>
      </w:r>
      <w:r w:rsidRPr="00371BAD">
        <w:t>0%</w:t>
      </w:r>
      <w:r>
        <w:t>)</w:t>
      </w:r>
      <w:r w:rsidRPr="00371BAD">
        <w:t xml:space="preserve"> percentile val</w:t>
      </w:r>
      <w:r>
        <w:t>ues will show performance close</w:t>
      </w:r>
      <w:r w:rsidRPr="00371BAD">
        <w:t xml:space="preserve"> to omnidirectional</w:t>
      </w:r>
      <w:r>
        <w:t xml:space="preserve"> coverage</w:t>
      </w:r>
      <w:r w:rsidRPr="00371BAD">
        <w:t xml:space="preserve">. </w:t>
      </w:r>
      <w:r>
        <w:t xml:space="preserve">Considering the challenge to test the lower percentile as discussed in </w:t>
      </w:r>
      <w:r>
        <w:fldChar w:fldCharType="begin"/>
      </w:r>
      <w:r>
        <w:instrText xml:space="preserve"> REF _Ref490147960 \r \h </w:instrText>
      </w:r>
      <w:r>
        <w:fldChar w:fldCharType="separate"/>
      </w:r>
      <w:r w:rsidR="00EB0413">
        <w:t>[20]</w:t>
      </w:r>
      <w:r>
        <w:fldChar w:fldCharType="end"/>
      </w:r>
      <w:r>
        <w:t xml:space="preserve"> the 80% percentile should to be chosen over the 90% percentile. </w:t>
      </w:r>
    </w:p>
    <w:p w:rsidR="002D7149" w:rsidRDefault="002D7149" w:rsidP="002D7149">
      <w:pPr>
        <w:pStyle w:val="BodyText"/>
        <w:rPr>
          <w:b/>
        </w:rPr>
      </w:pPr>
      <w:r w:rsidRPr="00525B2A">
        <w:rPr>
          <w:b/>
        </w:rPr>
        <w:t xml:space="preserve">Proposal 1: REFSENS shall at least be specified for the 10% </w:t>
      </w:r>
      <w:r>
        <w:rPr>
          <w:b/>
        </w:rPr>
        <w:t xml:space="preserve">percentile. </w:t>
      </w:r>
    </w:p>
    <w:p w:rsidR="00A5591D" w:rsidRDefault="002D7149" w:rsidP="002D7149">
      <w:pPr>
        <w:pStyle w:val="BodyText"/>
        <w:rPr>
          <w:b/>
        </w:rPr>
      </w:pPr>
      <w:r>
        <w:rPr>
          <w:b/>
        </w:rPr>
        <w:t>Proposal 2. If a second CDF percentile point is to be specified this shall be the 80% percentile.</w:t>
      </w:r>
    </w:p>
    <w:p w:rsidR="00733B6E" w:rsidRDefault="00733B6E" w:rsidP="00ED1CBD">
      <w:pPr>
        <w:pStyle w:val="BodyText"/>
        <w:rPr>
          <w:lang w:val="en-US"/>
        </w:rPr>
      </w:pPr>
    </w:p>
    <w:p w:rsidR="008D74AF" w:rsidRDefault="009B693A" w:rsidP="00733B6E">
      <w:pPr>
        <w:pStyle w:val="BodyText"/>
        <w:jc w:val="center"/>
        <w:rPr>
          <w:lang w:val="en-US"/>
        </w:rPr>
      </w:pPr>
      <w:r>
        <w:rPr>
          <w:noProof/>
          <w:lang w:val="en-US" w:eastAsia="ja-JP"/>
        </w:rPr>
        <w:drawing>
          <wp:inline distT="0" distB="0" distL="0" distR="0" wp14:anchorId="30000588">
            <wp:extent cx="4616450" cy="25940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7480" cy="2605889"/>
                    </a:xfrm>
                    <a:prstGeom prst="rect">
                      <a:avLst/>
                    </a:prstGeom>
                    <a:noFill/>
                  </pic:spPr>
                </pic:pic>
              </a:graphicData>
            </a:graphic>
          </wp:inline>
        </w:drawing>
      </w:r>
    </w:p>
    <w:p w:rsidR="00733B6E" w:rsidRDefault="00733B6E" w:rsidP="00733B6E">
      <w:pPr>
        <w:pStyle w:val="Caption"/>
        <w:jc w:val="center"/>
        <w:rPr>
          <w:lang w:val="en-US"/>
        </w:rPr>
      </w:pPr>
      <w:bookmarkStart w:id="6" w:name="_Ref484778645"/>
      <w:bookmarkStart w:id="7" w:name="_Ref481655897"/>
      <w:r>
        <w:lastRenderedPageBreak/>
        <w:t xml:space="preserve">Figure </w:t>
      </w:r>
      <w:r w:rsidR="00204C78">
        <w:fldChar w:fldCharType="begin"/>
      </w:r>
      <w:r w:rsidR="00204C78">
        <w:instrText xml:space="preserve"> SEQ Figure \* ARABIC </w:instrText>
      </w:r>
      <w:r w:rsidR="00204C78">
        <w:fldChar w:fldCharType="separate"/>
      </w:r>
      <w:r w:rsidR="00EB0413">
        <w:rPr>
          <w:noProof/>
        </w:rPr>
        <w:t>3</w:t>
      </w:r>
      <w:r w:rsidR="00204C78">
        <w:rPr>
          <w:noProof/>
        </w:rPr>
        <w:fldChar w:fldCharType="end"/>
      </w:r>
      <w:bookmarkEnd w:id="6"/>
      <w:r>
        <w:t xml:space="preserve">. </w:t>
      </w:r>
      <w:r w:rsidR="00CC370C">
        <w:t>EIS</w:t>
      </w:r>
      <w:r>
        <w:t xml:space="preserve"> </w:t>
      </w:r>
      <w:r>
        <w:rPr>
          <w:lang w:val="en-US"/>
        </w:rPr>
        <w:t xml:space="preserve">for patch arrays (UE1) and dipole arrays (UE2). </w:t>
      </w:r>
      <w:r w:rsidR="00CC370C">
        <w:rPr>
          <w:lang w:val="en-US"/>
        </w:rPr>
        <w:t>Simulated performance</w:t>
      </w:r>
      <w:r>
        <w:rPr>
          <w:lang w:val="en-US"/>
        </w:rPr>
        <w:t xml:space="preserve"> maximum ratio </w:t>
      </w:r>
      <w:r w:rsidR="00DB4821">
        <w:t>combining</w:t>
      </w:r>
      <w:r w:rsidR="00CC370C">
        <w:rPr>
          <w:lang w:val="en-US"/>
        </w:rPr>
        <w:t xml:space="preserve"> configurations</w:t>
      </w:r>
      <w:r>
        <w:rPr>
          <w:lang w:val="en-US"/>
        </w:rPr>
        <w:t>.</w:t>
      </w:r>
      <w:bookmarkEnd w:id="7"/>
    </w:p>
    <w:p w:rsidR="00733B6E" w:rsidRDefault="00733B6E" w:rsidP="00ED1CBD">
      <w:pPr>
        <w:pStyle w:val="BodyText"/>
        <w:rPr>
          <w:lang w:val="en-US"/>
        </w:rPr>
      </w:pPr>
    </w:p>
    <w:p w:rsidR="00321ADB" w:rsidRPr="00321ADB" w:rsidRDefault="004F7D39" w:rsidP="00ED1CBD">
      <w:pPr>
        <w:pStyle w:val="BodyText"/>
      </w:pPr>
      <w:r>
        <w:rPr>
          <w:lang w:val="en-US"/>
        </w:rPr>
        <w:t>Example</w:t>
      </w:r>
      <w:r w:rsidR="00E15D36">
        <w:rPr>
          <w:lang w:val="en-US"/>
        </w:rPr>
        <w:t xml:space="preserve"> values for REFSENS </w:t>
      </w:r>
      <w:r w:rsidR="00B54A43">
        <w:rPr>
          <w:lang w:val="en-US"/>
        </w:rPr>
        <w:t>should include some implementation margin. It is also recommended to account for different antenna implementations. Applying this to</w:t>
      </w:r>
      <w:r w:rsidR="008D74AF">
        <w:rPr>
          <w:lang w:val="en-US"/>
        </w:rPr>
        <w:t xml:space="preserve"> the</w:t>
      </w:r>
      <w:r w:rsidR="00E15D36">
        <w:rPr>
          <w:lang w:val="en-US"/>
        </w:rPr>
        <w:t xml:space="preserve"> simulation </w:t>
      </w:r>
      <w:r w:rsidR="00B54A43">
        <w:rPr>
          <w:lang w:val="en-US"/>
        </w:rPr>
        <w:t xml:space="preserve">result </w:t>
      </w:r>
      <w:r>
        <w:rPr>
          <w:lang w:val="en-US"/>
        </w:rPr>
        <w:t xml:space="preserve">above, </w:t>
      </w:r>
      <w:r w:rsidR="00B54A43">
        <w:rPr>
          <w:lang w:val="en-US"/>
        </w:rPr>
        <w:t xml:space="preserve">where the most conservative number </w:t>
      </w:r>
      <w:r w:rsidR="003C544B">
        <w:rPr>
          <w:lang w:val="en-US"/>
        </w:rPr>
        <w:t>between the two</w:t>
      </w:r>
      <w:r w:rsidR="00B54A43">
        <w:rPr>
          <w:lang w:val="en-US"/>
        </w:rPr>
        <w:t xml:space="preserve"> antenna configuration</w:t>
      </w:r>
      <w:r w:rsidR="003C544B">
        <w:rPr>
          <w:lang w:val="en-US"/>
        </w:rPr>
        <w:t>s</w:t>
      </w:r>
      <w:r w:rsidR="00B54A43">
        <w:rPr>
          <w:lang w:val="en-US"/>
        </w:rPr>
        <w:t xml:space="preserve"> has been used</w:t>
      </w:r>
      <w:r w:rsidR="003C544B">
        <w:rPr>
          <w:lang w:val="en-US"/>
        </w:rPr>
        <w:t xml:space="preserve"> is shown </w:t>
      </w:r>
      <w:r w:rsidR="00EF20A4">
        <w:rPr>
          <w:lang w:val="en-US"/>
        </w:rPr>
        <w:t>i</w:t>
      </w:r>
      <w:r w:rsidR="003C544B">
        <w:rPr>
          <w:lang w:val="en-US"/>
        </w:rPr>
        <w:t>n</w:t>
      </w:r>
      <w:r w:rsidR="00EF20A4">
        <w:rPr>
          <w:lang w:val="en-US"/>
        </w:rPr>
        <w:t xml:space="preserve"> </w:t>
      </w:r>
      <w:r w:rsidR="00EF20A4">
        <w:rPr>
          <w:lang w:val="en-US"/>
        </w:rPr>
        <w:fldChar w:fldCharType="begin"/>
      </w:r>
      <w:r w:rsidR="00EF20A4">
        <w:rPr>
          <w:lang w:val="en-US"/>
        </w:rPr>
        <w:instrText xml:space="preserve"> REF _Ref490210830 \h </w:instrText>
      </w:r>
      <w:r w:rsidR="00EF20A4">
        <w:rPr>
          <w:lang w:val="en-US"/>
        </w:rPr>
      </w:r>
      <w:r w:rsidR="00EF20A4">
        <w:rPr>
          <w:lang w:val="en-US"/>
        </w:rPr>
        <w:fldChar w:fldCharType="separate"/>
      </w:r>
      <w:r w:rsidR="00EB0413">
        <w:t xml:space="preserve">Table </w:t>
      </w:r>
      <w:r w:rsidR="00EB0413">
        <w:rPr>
          <w:noProof/>
        </w:rPr>
        <w:t>2</w:t>
      </w:r>
      <w:r w:rsidR="00EF20A4">
        <w:rPr>
          <w:lang w:val="en-US"/>
        </w:rPr>
        <w:fldChar w:fldCharType="end"/>
      </w:r>
      <w:r w:rsidR="00AA73B2">
        <w:rPr>
          <w:lang w:val="en-US"/>
        </w:rPr>
        <w:t>. A 3</w:t>
      </w:r>
      <w:r w:rsidR="003C544B">
        <w:rPr>
          <w:lang w:val="en-US"/>
        </w:rPr>
        <w:t xml:space="preserve">dB implementation margin </w:t>
      </w:r>
      <w:r w:rsidR="00EB0413">
        <w:rPr>
          <w:lang w:val="en-US"/>
        </w:rPr>
        <w:t xml:space="preserve">and gain variation with frequency </w:t>
      </w:r>
      <w:r w:rsidR="00DD341D">
        <w:rPr>
          <w:lang w:val="en-US"/>
        </w:rPr>
        <w:t xml:space="preserve">as discussed in </w:t>
      </w:r>
      <w:r w:rsidR="0076330D">
        <w:rPr>
          <w:lang w:val="en-US"/>
        </w:rPr>
        <w:t xml:space="preserve">section </w:t>
      </w:r>
      <w:r w:rsidR="00DD341D">
        <w:rPr>
          <w:lang w:val="en-US"/>
        </w:rPr>
        <w:fldChar w:fldCharType="begin"/>
      </w:r>
      <w:r w:rsidR="00DD341D">
        <w:rPr>
          <w:lang w:val="en-US"/>
        </w:rPr>
        <w:instrText xml:space="preserve"> REF _Ref492913000 \r \h </w:instrText>
      </w:r>
      <w:r w:rsidR="00DD341D">
        <w:rPr>
          <w:lang w:val="en-US"/>
        </w:rPr>
      </w:r>
      <w:r w:rsidR="00DD341D">
        <w:rPr>
          <w:lang w:val="en-US"/>
        </w:rPr>
        <w:fldChar w:fldCharType="separate"/>
      </w:r>
      <w:r w:rsidR="00EB0413">
        <w:rPr>
          <w:lang w:val="en-US"/>
        </w:rPr>
        <w:t>2.2</w:t>
      </w:r>
      <w:r w:rsidR="00DD341D">
        <w:rPr>
          <w:lang w:val="en-US"/>
        </w:rPr>
        <w:fldChar w:fldCharType="end"/>
      </w:r>
      <w:r w:rsidR="0076330D">
        <w:rPr>
          <w:lang w:val="en-US"/>
        </w:rPr>
        <w:t xml:space="preserve"> has </w:t>
      </w:r>
      <w:r w:rsidR="003C544B">
        <w:rPr>
          <w:lang w:val="en-US"/>
        </w:rPr>
        <w:t>been added.</w:t>
      </w:r>
      <w:r w:rsidR="00321ADB">
        <w:rPr>
          <w:lang w:val="en-US"/>
        </w:rPr>
        <w:t xml:space="preserve"> </w:t>
      </w:r>
    </w:p>
    <w:tbl>
      <w:tblPr>
        <w:tblStyle w:val="TableGrid"/>
        <w:tblW w:w="0" w:type="auto"/>
        <w:jc w:val="center"/>
        <w:tblLook w:val="04A0" w:firstRow="1" w:lastRow="0" w:firstColumn="1" w:lastColumn="0" w:noHBand="0" w:noVBand="1"/>
      </w:tblPr>
      <w:tblGrid>
        <w:gridCol w:w="4223"/>
        <w:gridCol w:w="1408"/>
      </w:tblGrid>
      <w:tr w:rsidR="0076330D" w:rsidTr="0076330D">
        <w:trPr>
          <w:jc w:val="center"/>
        </w:trPr>
        <w:tc>
          <w:tcPr>
            <w:tcW w:w="4223" w:type="dxa"/>
          </w:tcPr>
          <w:p w:rsidR="0076330D" w:rsidRPr="00B54A43" w:rsidRDefault="0076330D" w:rsidP="00ED1CBD">
            <w:pPr>
              <w:pStyle w:val="BodyText"/>
              <w:rPr>
                <w:b/>
                <w:lang w:val="en-US"/>
              </w:rPr>
            </w:pPr>
            <w:r>
              <w:rPr>
                <w:b/>
                <w:lang w:val="en-US"/>
              </w:rPr>
              <w:t>Transmission</w:t>
            </w:r>
            <w:r w:rsidRPr="00B54A43">
              <w:rPr>
                <w:b/>
                <w:lang w:val="en-US"/>
              </w:rPr>
              <w:t xml:space="preserve"> BW</w:t>
            </w:r>
          </w:p>
        </w:tc>
        <w:tc>
          <w:tcPr>
            <w:tcW w:w="1408" w:type="dxa"/>
          </w:tcPr>
          <w:p w:rsidR="0076330D" w:rsidRPr="00B54A43" w:rsidRDefault="0076330D" w:rsidP="00ED1CBD">
            <w:pPr>
              <w:pStyle w:val="BodyText"/>
              <w:rPr>
                <w:b/>
                <w:lang w:val="en-US"/>
              </w:rPr>
            </w:pPr>
            <w:r w:rsidRPr="00B54A43">
              <w:rPr>
                <w:b/>
                <w:lang w:val="en-US"/>
              </w:rPr>
              <w:t>100</w:t>
            </w:r>
            <w:r>
              <w:rPr>
                <w:b/>
                <w:lang w:val="en-US"/>
              </w:rPr>
              <w:t>MHz</w:t>
            </w:r>
          </w:p>
        </w:tc>
      </w:tr>
      <w:tr w:rsidR="0076330D" w:rsidTr="0076330D">
        <w:trPr>
          <w:jc w:val="center"/>
        </w:trPr>
        <w:tc>
          <w:tcPr>
            <w:tcW w:w="4223" w:type="dxa"/>
          </w:tcPr>
          <w:p w:rsidR="0076330D" w:rsidRDefault="0076330D" w:rsidP="00ED1CBD">
            <w:pPr>
              <w:pStyle w:val="BodyText"/>
              <w:rPr>
                <w:lang w:val="en-US"/>
              </w:rPr>
            </w:pPr>
            <w:r>
              <w:rPr>
                <w:lang w:val="en-US"/>
              </w:rPr>
              <w:t>REFSENS (10%)</w:t>
            </w:r>
          </w:p>
        </w:tc>
        <w:tc>
          <w:tcPr>
            <w:tcW w:w="1408" w:type="dxa"/>
          </w:tcPr>
          <w:p w:rsidR="0076330D" w:rsidRDefault="00A06D0D" w:rsidP="00ED1CBD">
            <w:pPr>
              <w:pStyle w:val="BodyText"/>
              <w:rPr>
                <w:lang w:val="en-US"/>
              </w:rPr>
            </w:pPr>
            <w:r>
              <w:rPr>
                <w:lang w:val="en-US"/>
              </w:rPr>
              <w:t>-91</w:t>
            </w:r>
            <w:r w:rsidR="0076330D">
              <w:rPr>
                <w:lang w:val="en-US"/>
              </w:rPr>
              <w:t>dBm</w:t>
            </w:r>
          </w:p>
        </w:tc>
      </w:tr>
      <w:tr w:rsidR="0076330D" w:rsidTr="0076330D">
        <w:trPr>
          <w:jc w:val="center"/>
        </w:trPr>
        <w:tc>
          <w:tcPr>
            <w:tcW w:w="4223" w:type="dxa"/>
          </w:tcPr>
          <w:p w:rsidR="0076330D" w:rsidRDefault="0076330D" w:rsidP="00ED1CBD">
            <w:pPr>
              <w:pStyle w:val="BodyText"/>
              <w:rPr>
                <w:lang w:val="en-US"/>
              </w:rPr>
            </w:pPr>
            <w:r>
              <w:rPr>
                <w:lang w:val="en-US"/>
              </w:rPr>
              <w:t>REFSENS (80%) if needed</w:t>
            </w:r>
          </w:p>
        </w:tc>
        <w:tc>
          <w:tcPr>
            <w:tcW w:w="1408" w:type="dxa"/>
          </w:tcPr>
          <w:p w:rsidR="0076330D" w:rsidRDefault="00A06D0D" w:rsidP="00ED1CBD">
            <w:pPr>
              <w:pStyle w:val="BodyText"/>
              <w:rPr>
                <w:lang w:val="en-US"/>
              </w:rPr>
            </w:pPr>
            <w:r>
              <w:rPr>
                <w:lang w:val="en-US"/>
              </w:rPr>
              <w:t>-84</w:t>
            </w:r>
            <w:r w:rsidR="0076330D">
              <w:rPr>
                <w:lang w:val="en-US"/>
              </w:rPr>
              <w:t>dBm</w:t>
            </w:r>
          </w:p>
        </w:tc>
      </w:tr>
    </w:tbl>
    <w:p w:rsidR="00AA73B2" w:rsidRDefault="00AA73B2" w:rsidP="008D0F7E">
      <w:pPr>
        <w:pStyle w:val="Caption"/>
        <w:jc w:val="center"/>
      </w:pPr>
      <w:bookmarkStart w:id="8" w:name="_Ref484788866"/>
    </w:p>
    <w:p w:rsidR="000B3615" w:rsidRDefault="008D0F7E" w:rsidP="008D0F7E">
      <w:pPr>
        <w:pStyle w:val="Caption"/>
        <w:jc w:val="center"/>
        <w:rPr>
          <w:lang w:val="en-US"/>
        </w:rPr>
      </w:pPr>
      <w:bookmarkStart w:id="9" w:name="_Ref490210830"/>
      <w:r>
        <w:t xml:space="preserve">Table </w:t>
      </w:r>
      <w:r w:rsidR="00204C78">
        <w:fldChar w:fldCharType="begin"/>
      </w:r>
      <w:r w:rsidR="00204C78">
        <w:instrText xml:space="preserve"> SEQ Table \* ARABIC </w:instrText>
      </w:r>
      <w:r w:rsidR="00204C78">
        <w:fldChar w:fldCharType="separate"/>
      </w:r>
      <w:r w:rsidR="00EB0413">
        <w:rPr>
          <w:noProof/>
        </w:rPr>
        <w:t>2</w:t>
      </w:r>
      <w:r w:rsidR="00204C78">
        <w:rPr>
          <w:noProof/>
        </w:rPr>
        <w:fldChar w:fldCharType="end"/>
      </w:r>
      <w:bookmarkEnd w:id="8"/>
      <w:bookmarkEnd w:id="9"/>
      <w:r w:rsidR="000B3615">
        <w:t xml:space="preserve">. </w:t>
      </w:r>
      <w:r w:rsidR="00321ADB">
        <w:rPr>
          <w:lang w:val="en-US"/>
        </w:rPr>
        <w:t>Example of REFSENS specification for 28GHz band</w:t>
      </w:r>
      <w:r w:rsidR="000B3615">
        <w:rPr>
          <w:lang w:val="en-US"/>
        </w:rPr>
        <w:t>.</w:t>
      </w:r>
    </w:p>
    <w:p w:rsidR="00697C3A" w:rsidRDefault="00697C3A" w:rsidP="00697C3A">
      <w:pPr>
        <w:pStyle w:val="BodyText"/>
        <w:rPr>
          <w:lang w:val="en-US"/>
        </w:rPr>
      </w:pPr>
    </w:p>
    <w:p w:rsidR="00697C3A" w:rsidRDefault="00E5014B" w:rsidP="00E5014B">
      <w:pPr>
        <w:pStyle w:val="Heading2"/>
        <w:rPr>
          <w:lang w:val="en-US"/>
        </w:rPr>
      </w:pPr>
      <w:bookmarkStart w:id="10" w:name="_Ref481689103"/>
      <w:r>
        <w:rPr>
          <w:lang w:val="en-US"/>
        </w:rPr>
        <w:t>HW implementation aspects</w:t>
      </w:r>
      <w:bookmarkEnd w:id="10"/>
    </w:p>
    <w:p w:rsidR="00BC3169" w:rsidRPr="00697C3A" w:rsidRDefault="0082089A" w:rsidP="00697C3A">
      <w:pPr>
        <w:pStyle w:val="BodyText"/>
        <w:rPr>
          <w:lang w:val="en-US"/>
        </w:rPr>
      </w:pPr>
      <w:r>
        <w:rPr>
          <w:lang w:val="en-US"/>
        </w:rPr>
        <w:t>The above simulation is done for ideal conditions</w:t>
      </w:r>
      <w:r w:rsidR="00E5014B">
        <w:rPr>
          <w:lang w:val="en-US"/>
        </w:rPr>
        <w:t>.</w:t>
      </w:r>
      <w:r>
        <w:rPr>
          <w:lang w:val="en-US"/>
        </w:rPr>
        <w:t xml:space="preserve"> In a real implementation the </w:t>
      </w:r>
      <w:r w:rsidR="00D75322">
        <w:rPr>
          <w:lang w:val="en-US"/>
        </w:rPr>
        <w:t xml:space="preserve">number of antennas and the </w:t>
      </w:r>
      <w:r>
        <w:rPr>
          <w:lang w:val="en-US"/>
        </w:rPr>
        <w:t>freedom to place antennas in a UE could be limited.</w:t>
      </w:r>
      <w:r w:rsidR="00E5014B">
        <w:rPr>
          <w:lang w:val="en-US"/>
        </w:rPr>
        <w:t xml:space="preserve"> </w:t>
      </w:r>
      <w:r w:rsidR="00AA73B2">
        <w:rPr>
          <w:lang w:val="en-US"/>
        </w:rPr>
        <w:t xml:space="preserve">Implementation margins has to be </w:t>
      </w:r>
      <w:r w:rsidR="00A06D0D">
        <w:rPr>
          <w:lang w:val="en-US"/>
        </w:rPr>
        <w:t>further</w:t>
      </w:r>
      <w:r w:rsidR="00A06D0D">
        <w:rPr>
          <w:lang w:val="en-US"/>
        </w:rPr>
        <w:t xml:space="preserve"> </w:t>
      </w:r>
      <w:r w:rsidR="00AA73B2">
        <w:rPr>
          <w:lang w:val="en-US"/>
        </w:rPr>
        <w:t>discussed.</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453754" w:rsidP="001E1E93">
      <w:pPr>
        <w:pStyle w:val="BodyText"/>
        <w:rPr>
          <w:lang w:val="en-US"/>
        </w:rPr>
      </w:pPr>
      <w:r>
        <w:rPr>
          <w:lang w:val="en-US"/>
        </w:rPr>
        <w:t>REFSENS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Pr>
          <w:lang w:val="en-US"/>
        </w:rPr>
        <w:t xml:space="preserve">Example numbers of REFSENS has been shown. </w:t>
      </w:r>
      <w:r w:rsidR="00C67579">
        <w:rPr>
          <w:lang w:val="en-US"/>
        </w:rPr>
        <w:t>The following observation</w:t>
      </w:r>
      <w:r>
        <w:rPr>
          <w:lang w:val="en-US"/>
        </w:rPr>
        <w:t xml:space="preserve"> and proposal</w:t>
      </w:r>
      <w:r w:rsidR="00EF20A4">
        <w:rPr>
          <w:lang w:val="en-US"/>
        </w:rPr>
        <w:t>s</w:t>
      </w:r>
      <w:r w:rsidR="00C67579">
        <w:rPr>
          <w:lang w:val="en-US"/>
        </w:rPr>
        <w:t xml:space="preserve"> </w:t>
      </w:r>
      <w:r>
        <w:rPr>
          <w:lang w:val="en-US"/>
        </w:rPr>
        <w:t>are</w:t>
      </w:r>
      <w:r w:rsidR="00C67579">
        <w:rPr>
          <w:lang w:val="en-US"/>
        </w:rPr>
        <w:t xml:space="preserve"> made:</w:t>
      </w:r>
    </w:p>
    <w:p w:rsidR="00EF20A4" w:rsidRPr="00525B2A" w:rsidRDefault="00EF20A4" w:rsidP="00EF20A4">
      <w:pPr>
        <w:pStyle w:val="BodyText"/>
        <w:rPr>
          <w:b/>
        </w:rPr>
      </w:pPr>
      <w:r w:rsidRPr="00525B2A">
        <w:rPr>
          <w:b/>
        </w:rPr>
        <w:t>Observation 1: There is no need to specify REFSENS for more than two percentile points.</w:t>
      </w:r>
    </w:p>
    <w:p w:rsidR="00EF20A4" w:rsidRDefault="00EF20A4" w:rsidP="00EF20A4">
      <w:pPr>
        <w:pStyle w:val="BodyText"/>
        <w:rPr>
          <w:b/>
        </w:rPr>
      </w:pPr>
      <w:r w:rsidRPr="00525B2A">
        <w:rPr>
          <w:b/>
        </w:rPr>
        <w:t xml:space="preserve">Proposal 1: REFSENS shall at least be specified for the 10% percentile. </w:t>
      </w:r>
    </w:p>
    <w:p w:rsidR="00B57EAE" w:rsidRDefault="00EF20A4" w:rsidP="00EF20A4">
      <w:pPr>
        <w:pStyle w:val="BodyText"/>
        <w:rPr>
          <w:b/>
        </w:rPr>
      </w:pPr>
      <w:r>
        <w:rPr>
          <w:b/>
        </w:rPr>
        <w:t>Proposal 2. If a second CDF percentile point is to be specified this shall be the 80% percentile.</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E16EC" w:rsidRPr="00FE16EC" w:rsidRDefault="00FE16EC" w:rsidP="00FE16EC">
      <w:pPr>
        <w:pStyle w:val="references"/>
        <w:numPr>
          <w:ilvl w:val="0"/>
          <w:numId w:val="7"/>
        </w:numPr>
        <w:tabs>
          <w:tab w:val="left" w:pos="1560"/>
        </w:tabs>
        <w:rPr>
          <w:i/>
        </w:rPr>
      </w:pPr>
      <w:bookmarkStart w:id="11" w:name="_Ref490207628"/>
      <w:bookmarkStart w:id="12" w:name="_Ref484077633"/>
      <w:bookmarkStart w:id="13" w:name="_Ref447703865"/>
      <w:bookmarkStart w:id="14" w:name="_Ref455046197"/>
      <w:bookmarkStart w:id="15" w:name="_Ref473734040"/>
      <w:bookmarkStart w:id="16" w:name="_Ref481653652"/>
      <w:bookmarkStart w:id="17" w:name="_Ref447634836"/>
      <w:bookmarkStart w:id="18" w:name="_Ref447633816"/>
      <w:bookmarkStart w:id="19" w:name="_Ref492892134"/>
      <w:bookmarkStart w:id="20" w:name="_Ref492896371"/>
      <w:r w:rsidRPr="00FE16EC">
        <w:t>R4-1709140</w:t>
      </w:r>
      <w:r>
        <w:tab/>
        <w:t>“</w:t>
      </w:r>
      <w:r w:rsidRPr="00FE16EC">
        <w:t>WF on referense sensitivity for mmWave</w:t>
      </w:r>
      <w:r>
        <w:t xml:space="preserve">”, </w:t>
      </w:r>
      <w:r w:rsidRPr="00FE16EC">
        <w:rPr>
          <w:i/>
        </w:rPr>
        <w:t>LG Electronics, Huawei, Sumitomo, Sony, Ericsson, Skyworks, Intel Corporation, KT, Media Tek</w:t>
      </w:r>
      <w:bookmarkEnd w:id="20"/>
    </w:p>
    <w:p w:rsidR="00530264" w:rsidRDefault="00530264" w:rsidP="00530264">
      <w:pPr>
        <w:pStyle w:val="references"/>
        <w:numPr>
          <w:ilvl w:val="0"/>
          <w:numId w:val="7"/>
        </w:numPr>
        <w:tabs>
          <w:tab w:val="left" w:pos="1560"/>
        </w:tabs>
      </w:pPr>
      <w:bookmarkStart w:id="21" w:name="_Ref492896364"/>
      <w:r>
        <w:t>R4-1707332</w:t>
      </w:r>
      <w:r>
        <w:tab/>
        <w:t xml:space="preserve">“UE reference sensitivity for mmWave 28GHz”, </w:t>
      </w:r>
      <w:r w:rsidRPr="00530264">
        <w:rPr>
          <w:i/>
        </w:rPr>
        <w:t>Sony</w:t>
      </w:r>
      <w:bookmarkEnd w:id="19"/>
      <w:bookmarkEnd w:id="21"/>
    </w:p>
    <w:p w:rsidR="00530264" w:rsidRDefault="00530264" w:rsidP="00530264">
      <w:pPr>
        <w:pStyle w:val="references"/>
        <w:numPr>
          <w:ilvl w:val="0"/>
          <w:numId w:val="7"/>
        </w:numPr>
        <w:tabs>
          <w:tab w:val="left" w:pos="1560"/>
        </w:tabs>
      </w:pPr>
      <w:r>
        <w:t>R4-1708175</w:t>
      </w:r>
      <w:r>
        <w:tab/>
        <w:t>“</w:t>
      </w:r>
      <w:r>
        <w:t>NR UE REFSENS requirments</w:t>
      </w:r>
      <w:r>
        <w:t xml:space="preserve">”, </w:t>
      </w:r>
      <w:r w:rsidRPr="00530264">
        <w:rPr>
          <w:i/>
        </w:rPr>
        <w:t>LGE</w:t>
      </w:r>
    </w:p>
    <w:p w:rsidR="00530264" w:rsidRDefault="00530264" w:rsidP="00530264">
      <w:pPr>
        <w:pStyle w:val="references"/>
        <w:numPr>
          <w:ilvl w:val="0"/>
          <w:numId w:val="7"/>
        </w:numPr>
        <w:tabs>
          <w:tab w:val="left" w:pos="1560"/>
        </w:tabs>
      </w:pPr>
      <w:r>
        <w:t>R4-1707828</w:t>
      </w:r>
      <w:r>
        <w:tab/>
      </w:r>
      <w:r>
        <w:t>“</w:t>
      </w:r>
      <w:r>
        <w:t xml:space="preserve">Preliminary smartphone EIS performance evaluation”, </w:t>
      </w:r>
      <w:r w:rsidRPr="00530264">
        <w:rPr>
          <w:i/>
        </w:rPr>
        <w:t>Huawei</w:t>
      </w:r>
    </w:p>
    <w:p w:rsidR="00530264" w:rsidRDefault="00530264" w:rsidP="00530264">
      <w:pPr>
        <w:pStyle w:val="references"/>
        <w:numPr>
          <w:ilvl w:val="0"/>
          <w:numId w:val="7"/>
        </w:numPr>
        <w:tabs>
          <w:tab w:val="left" w:pos="1560"/>
        </w:tabs>
      </w:pPr>
      <w:r>
        <w:t>R4-1708542</w:t>
      </w:r>
      <w:r>
        <w:tab/>
      </w:r>
      <w:r>
        <w:t>“</w:t>
      </w:r>
      <w:r>
        <w:t xml:space="preserve">Reference sensitivity for mmW UE”, </w:t>
      </w:r>
      <w:r w:rsidRPr="00530264">
        <w:rPr>
          <w:i/>
        </w:rPr>
        <w:t>Qualcomm</w:t>
      </w:r>
    </w:p>
    <w:p w:rsidR="00530264" w:rsidRDefault="00530264" w:rsidP="00530264">
      <w:pPr>
        <w:pStyle w:val="references"/>
        <w:numPr>
          <w:ilvl w:val="0"/>
          <w:numId w:val="7"/>
        </w:numPr>
        <w:tabs>
          <w:tab w:val="left" w:pos="1560"/>
        </w:tabs>
      </w:pPr>
      <w:r>
        <w:t>R4-1707511</w:t>
      </w:r>
      <w:r>
        <w:tab/>
      </w:r>
      <w:r>
        <w:t>“</w:t>
      </w:r>
      <w:r>
        <w:t xml:space="preserve">MSD for combinations including 3.5GHz, 4.5GHz, 28GHz”, </w:t>
      </w:r>
      <w:r w:rsidRPr="00530264">
        <w:rPr>
          <w:i/>
        </w:rPr>
        <w:t>NTT</w:t>
      </w:r>
      <w:r>
        <w:t xml:space="preserve"> </w:t>
      </w:r>
      <w:r w:rsidRPr="00530264">
        <w:rPr>
          <w:i/>
        </w:rPr>
        <w:t>DoCoMo</w:t>
      </w:r>
    </w:p>
    <w:p w:rsidR="00530264" w:rsidRDefault="00530264" w:rsidP="00530264">
      <w:pPr>
        <w:pStyle w:val="references"/>
        <w:numPr>
          <w:ilvl w:val="0"/>
          <w:numId w:val="7"/>
        </w:numPr>
        <w:tabs>
          <w:tab w:val="left" w:pos="1560"/>
        </w:tabs>
      </w:pPr>
      <w:r>
        <w:t>R4-1706506</w:t>
      </w:r>
      <w:r>
        <w:tab/>
      </w:r>
      <w:r>
        <w:t>“</w:t>
      </w:r>
      <w:r>
        <w:t xml:space="preserve"> mmWave UE REFSENS considerations &amp; proposals”, </w:t>
      </w:r>
      <w:r w:rsidRPr="00530264">
        <w:rPr>
          <w:i/>
        </w:rPr>
        <w:t>Intel</w:t>
      </w:r>
    </w:p>
    <w:p w:rsidR="00901E90" w:rsidRDefault="00901E90" w:rsidP="00901E90">
      <w:pPr>
        <w:pStyle w:val="references"/>
        <w:numPr>
          <w:ilvl w:val="0"/>
          <w:numId w:val="7"/>
        </w:numPr>
        <w:tabs>
          <w:tab w:val="left" w:pos="1560"/>
        </w:tabs>
      </w:pPr>
      <w:r w:rsidRPr="00901E90">
        <w:t>R4-1706563</w:t>
      </w:r>
      <w:r>
        <w:tab/>
        <w:t>“</w:t>
      </w:r>
      <w:r w:rsidRPr="00901E90">
        <w:t>UE reference sensitivity for mmWave 28GHz</w:t>
      </w:r>
      <w:r>
        <w:t xml:space="preserve">”, </w:t>
      </w:r>
      <w:r w:rsidRPr="00B27037">
        <w:rPr>
          <w:i/>
        </w:rPr>
        <w:t>S</w:t>
      </w:r>
      <w:r>
        <w:rPr>
          <w:i/>
        </w:rPr>
        <w:t>ony, Ericsson</w:t>
      </w:r>
    </w:p>
    <w:p w:rsidR="00A91B94" w:rsidRPr="00A91B94" w:rsidRDefault="00C6381C" w:rsidP="00AE7E2D">
      <w:pPr>
        <w:pStyle w:val="references"/>
        <w:numPr>
          <w:ilvl w:val="0"/>
          <w:numId w:val="7"/>
        </w:numPr>
        <w:tabs>
          <w:tab w:val="left" w:pos="1560"/>
        </w:tabs>
      </w:pPr>
      <w:bookmarkStart w:id="22" w:name="_Ref490207608"/>
      <w:bookmarkEnd w:id="11"/>
      <w:r w:rsidRPr="00C6381C">
        <w:t>R4-1704864</w:t>
      </w:r>
      <w:r>
        <w:t xml:space="preserve">, </w:t>
      </w:r>
      <w:r w:rsidR="00AE7E2D">
        <w:tab/>
      </w:r>
      <w:r>
        <w:t>“</w:t>
      </w:r>
      <w:r w:rsidRPr="00C6381C">
        <w:t>UE antenna array configuration for mmWave 28GHz</w:t>
      </w:r>
      <w:r>
        <w:t xml:space="preserve">”, </w:t>
      </w:r>
      <w:r w:rsidRPr="00B27037">
        <w:rPr>
          <w:i/>
        </w:rPr>
        <w:t>S</w:t>
      </w:r>
      <w:r>
        <w:rPr>
          <w:i/>
        </w:rPr>
        <w:t>ony, Ericsson</w:t>
      </w:r>
      <w:bookmarkEnd w:id="12"/>
      <w:bookmarkEnd w:id="22"/>
    </w:p>
    <w:p w:rsidR="00AE7E2D" w:rsidRPr="00EB0413" w:rsidRDefault="00C6381C" w:rsidP="00AE7E2D">
      <w:pPr>
        <w:pStyle w:val="references"/>
        <w:numPr>
          <w:ilvl w:val="0"/>
          <w:numId w:val="7"/>
        </w:numPr>
        <w:tabs>
          <w:tab w:val="left" w:pos="1560"/>
        </w:tabs>
      </w:pPr>
      <w:bookmarkStart w:id="23" w:name="_Ref484009641"/>
      <w:r w:rsidRPr="00C6381C">
        <w:rPr>
          <w:lang w:val="en-GB"/>
        </w:rPr>
        <w:t>R4-1704868</w:t>
      </w:r>
      <w:r w:rsidR="00AE7E2D">
        <w:rPr>
          <w:lang w:val="en-GB"/>
        </w:rPr>
        <w:t>,</w:t>
      </w:r>
      <w:r w:rsidR="00AE7E2D">
        <w:rPr>
          <w:lang w:val="en-GB"/>
        </w:rPr>
        <w:tab/>
        <w:t>“</w:t>
      </w:r>
      <w:r w:rsidR="00AE7E2D" w:rsidRPr="00AE7E2D">
        <w:t>Spatial multiplexing for mmWave 28GHz</w:t>
      </w:r>
      <w:r w:rsidR="00AE7E2D">
        <w:t>”</w:t>
      </w:r>
      <w:r w:rsidR="00AE7E2D" w:rsidRPr="00AE7E2D">
        <w:t xml:space="preserve">, </w:t>
      </w:r>
      <w:r w:rsidR="00AE7E2D" w:rsidRPr="00AE7E2D">
        <w:rPr>
          <w:i/>
          <w:iCs/>
        </w:rPr>
        <w:t>Sony, Ericsson</w:t>
      </w:r>
      <w:bookmarkEnd w:id="23"/>
    </w:p>
    <w:p w:rsidR="00EB0413" w:rsidRPr="00AE7E2D" w:rsidRDefault="00EB0413" w:rsidP="00EB0413">
      <w:pPr>
        <w:pStyle w:val="references"/>
        <w:numPr>
          <w:ilvl w:val="0"/>
          <w:numId w:val="7"/>
        </w:numPr>
        <w:tabs>
          <w:tab w:val="left" w:pos="1560"/>
        </w:tabs>
      </w:pPr>
      <w:bookmarkStart w:id="24" w:name="_Ref492913746"/>
      <w:r>
        <w:rPr>
          <w:lang w:val="en-GB"/>
        </w:rPr>
        <w:t>R4-1704866</w:t>
      </w:r>
      <w:r>
        <w:rPr>
          <w:lang w:val="en-GB"/>
        </w:rPr>
        <w:t>,</w:t>
      </w:r>
      <w:r>
        <w:rPr>
          <w:lang w:val="en-GB"/>
        </w:rPr>
        <w:tab/>
        <w:t>“</w:t>
      </w:r>
      <w:r w:rsidRPr="00EB0413">
        <w:t>Frequency Response of UE mmWave antennas for the 28GHz band</w:t>
      </w:r>
      <w:r>
        <w:t>”</w:t>
      </w:r>
      <w:r w:rsidRPr="00AE7E2D">
        <w:t xml:space="preserve">, </w:t>
      </w:r>
      <w:r w:rsidRPr="00AE7E2D">
        <w:rPr>
          <w:i/>
          <w:iCs/>
        </w:rPr>
        <w:t>Sony, Ericsson</w:t>
      </w:r>
      <w:bookmarkEnd w:id="24"/>
    </w:p>
    <w:p w:rsidR="00AE7E2D" w:rsidRPr="00AE7E2D" w:rsidRDefault="00AE7E2D" w:rsidP="00F51EC1">
      <w:pPr>
        <w:pStyle w:val="references"/>
        <w:numPr>
          <w:ilvl w:val="0"/>
          <w:numId w:val="7"/>
        </w:numPr>
        <w:tabs>
          <w:tab w:val="left" w:pos="1560"/>
        </w:tabs>
      </w:pPr>
      <w:bookmarkStart w:id="25" w:name="_Ref484009653"/>
      <w:r w:rsidRPr="00AE7E2D">
        <w:t>R4-1704684</w:t>
      </w:r>
      <w:r w:rsidRPr="00AE7E2D">
        <w:tab/>
      </w:r>
      <w:r>
        <w:t>“</w:t>
      </w:r>
      <w:r w:rsidRPr="00AE7E2D">
        <w:t>On NR mmWave UE antenna reference architecture</w:t>
      </w:r>
      <w:r>
        <w:t>”</w:t>
      </w:r>
      <w:r w:rsidRPr="00AE7E2D">
        <w:t xml:space="preserve">, </w:t>
      </w:r>
      <w:r w:rsidRPr="00F51EC1">
        <w:rPr>
          <w:i/>
          <w:iCs/>
          <w:lang w:val="en-GB"/>
        </w:rPr>
        <w:t>Intel Corporation</w:t>
      </w:r>
      <w:bookmarkEnd w:id="25"/>
    </w:p>
    <w:p w:rsidR="00AE7E2D" w:rsidRPr="00AE7E2D" w:rsidRDefault="00AE7E2D" w:rsidP="00AE7E2D">
      <w:pPr>
        <w:pStyle w:val="references"/>
        <w:numPr>
          <w:ilvl w:val="0"/>
          <w:numId w:val="7"/>
        </w:numPr>
        <w:tabs>
          <w:tab w:val="left" w:pos="1560"/>
        </w:tabs>
      </w:pPr>
      <w:bookmarkStart w:id="26" w:name="_Ref484009656"/>
      <w:r w:rsidRPr="00AE7E2D">
        <w:t>R4-1704957</w:t>
      </w:r>
      <w:r w:rsidRPr="00AE7E2D">
        <w:tab/>
      </w:r>
      <w:r>
        <w:t>“</w:t>
      </w:r>
      <w:r w:rsidRPr="00AE7E2D">
        <w:t>Discussion on antenna reference architecture for mmWave</w:t>
      </w:r>
      <w:r>
        <w:t>”</w:t>
      </w:r>
      <w:r w:rsidRPr="00AE7E2D">
        <w:t xml:space="preserve">, </w:t>
      </w:r>
      <w:r w:rsidRPr="00AE7E2D">
        <w:rPr>
          <w:i/>
          <w:iCs/>
        </w:rPr>
        <w:t>LG Electronics Inc.</w:t>
      </w:r>
      <w:bookmarkEnd w:id="26"/>
    </w:p>
    <w:p w:rsidR="00AE7E2D" w:rsidRPr="00AE7E2D" w:rsidRDefault="00AE7E2D" w:rsidP="00AE7E2D">
      <w:pPr>
        <w:pStyle w:val="references"/>
        <w:numPr>
          <w:ilvl w:val="0"/>
          <w:numId w:val="7"/>
        </w:numPr>
        <w:tabs>
          <w:tab w:val="left" w:pos="1560"/>
        </w:tabs>
      </w:pPr>
      <w:bookmarkStart w:id="27" w:name="_Ref484009658"/>
      <w:r w:rsidRPr="00AE7E2D">
        <w:t>R4-1705205</w:t>
      </w:r>
      <w:r w:rsidRPr="00AE7E2D">
        <w:tab/>
      </w:r>
      <w:r>
        <w:t>“</w:t>
      </w:r>
      <w:r w:rsidRPr="00AE7E2D">
        <w:t>mmW reference architecture</w:t>
      </w:r>
      <w:r>
        <w:t>”</w:t>
      </w:r>
      <w:r w:rsidRPr="00AE7E2D">
        <w:t xml:space="preserve">, </w:t>
      </w:r>
      <w:r w:rsidRPr="00AE7E2D">
        <w:rPr>
          <w:i/>
          <w:iCs/>
        </w:rPr>
        <w:t>Qualcomm Incorporated</w:t>
      </w:r>
      <w:bookmarkEnd w:id="27"/>
    </w:p>
    <w:p w:rsidR="00AE7E2D" w:rsidRPr="00AE7E2D" w:rsidRDefault="00AE7E2D" w:rsidP="00AE7E2D">
      <w:pPr>
        <w:pStyle w:val="references"/>
        <w:numPr>
          <w:ilvl w:val="0"/>
          <w:numId w:val="7"/>
        </w:numPr>
        <w:tabs>
          <w:tab w:val="left" w:pos="1560"/>
        </w:tabs>
      </w:pPr>
      <w:bookmarkStart w:id="28" w:name="_Ref484009661"/>
      <w:r w:rsidRPr="00AE7E2D">
        <w:t>R4-1705202</w:t>
      </w:r>
      <w:r w:rsidRPr="00AE7E2D">
        <w:tab/>
      </w:r>
      <w:r>
        <w:t>“</w:t>
      </w:r>
      <w:r w:rsidRPr="00AE7E2D">
        <w:t>Reference sensitivity requirements for mmW UE</w:t>
      </w:r>
      <w:r>
        <w:t>”</w:t>
      </w:r>
      <w:r w:rsidRPr="00AE7E2D">
        <w:t xml:space="preserve">, </w:t>
      </w:r>
      <w:r w:rsidRPr="00AE7E2D">
        <w:rPr>
          <w:i/>
          <w:iCs/>
        </w:rPr>
        <w:t>Qualcomm Incorporated</w:t>
      </w:r>
      <w:bookmarkEnd w:id="28"/>
    </w:p>
    <w:p w:rsidR="00AE7E2D" w:rsidRPr="00A918AF" w:rsidRDefault="00AE7E2D" w:rsidP="00AE7E2D">
      <w:pPr>
        <w:pStyle w:val="references"/>
        <w:numPr>
          <w:ilvl w:val="0"/>
          <w:numId w:val="7"/>
        </w:numPr>
        <w:tabs>
          <w:tab w:val="left" w:pos="1560"/>
        </w:tabs>
      </w:pPr>
      <w:bookmarkStart w:id="29" w:name="_Ref484009663"/>
      <w:r w:rsidRPr="00AE7E2D">
        <w:t>R4-1704937</w:t>
      </w:r>
      <w:r w:rsidRPr="00AE7E2D">
        <w:tab/>
      </w:r>
      <w:r>
        <w:t>“</w:t>
      </w:r>
      <w:r w:rsidRPr="00AE7E2D">
        <w:t>Receiver RF requirements for NR UE</w:t>
      </w:r>
      <w:r>
        <w:t>”</w:t>
      </w:r>
      <w:r w:rsidRPr="00AE7E2D">
        <w:t xml:space="preserve">, </w:t>
      </w:r>
      <w:r w:rsidRPr="00AE7E2D">
        <w:rPr>
          <w:i/>
          <w:iCs/>
        </w:rPr>
        <w:t>LG Electronics Inc.</w:t>
      </w:r>
      <w:bookmarkEnd w:id="29"/>
    </w:p>
    <w:p w:rsidR="00A918AF" w:rsidRPr="00AE7E2D" w:rsidRDefault="00A918AF" w:rsidP="00A918AF">
      <w:pPr>
        <w:pStyle w:val="references"/>
        <w:numPr>
          <w:ilvl w:val="0"/>
          <w:numId w:val="7"/>
        </w:numPr>
        <w:tabs>
          <w:tab w:val="left" w:pos="1560"/>
        </w:tabs>
      </w:pPr>
      <w:bookmarkStart w:id="30" w:name="_Ref484793372"/>
      <w:r w:rsidRPr="00A918AF">
        <w:t>R4-1705223</w:t>
      </w:r>
      <w:r>
        <w:tab/>
        <w:t>“</w:t>
      </w:r>
      <w:r w:rsidRPr="00A918AF">
        <w:t>Further discussion on mmWave EIRP/EIS requirement following CDF approach</w:t>
      </w:r>
      <w:r>
        <w:t xml:space="preserve">”, </w:t>
      </w:r>
      <w:r w:rsidRPr="00A918AF">
        <w:rPr>
          <w:i/>
          <w:iCs/>
        </w:rPr>
        <w:t>Huawei</w:t>
      </w:r>
      <w:r w:rsidRPr="00A918AF">
        <w:rPr>
          <w:rFonts w:hint="eastAsia"/>
          <w:i/>
          <w:iCs/>
        </w:rPr>
        <w:t>, HiSilicon</w:t>
      </w:r>
      <w:bookmarkEnd w:id="30"/>
    </w:p>
    <w:p w:rsidR="00C6381C" w:rsidRPr="00F51EC1" w:rsidRDefault="00F51EC1" w:rsidP="00F51EC1">
      <w:pPr>
        <w:pStyle w:val="references"/>
        <w:numPr>
          <w:ilvl w:val="0"/>
          <w:numId w:val="7"/>
        </w:numPr>
        <w:tabs>
          <w:tab w:val="left" w:pos="1560"/>
        </w:tabs>
      </w:pPr>
      <w:bookmarkStart w:id="31" w:name="_Ref484009895"/>
      <w:r w:rsidRPr="00F51EC1">
        <w:rPr>
          <w:lang w:val="en-GB"/>
        </w:rPr>
        <w:t xml:space="preserve">R4-1706067 </w:t>
      </w:r>
      <w:r>
        <w:rPr>
          <w:lang w:val="en-GB"/>
        </w:rPr>
        <w:tab/>
        <w:t>“</w:t>
      </w:r>
      <w:r w:rsidRPr="00F51EC1">
        <w:rPr>
          <w:lang w:val="en-GB"/>
        </w:rPr>
        <w:t>WF on UE Reference Architecture</w:t>
      </w:r>
      <w:r>
        <w:rPr>
          <w:lang w:val="en-GB"/>
        </w:rPr>
        <w:t xml:space="preserve">”, </w:t>
      </w:r>
      <w:r w:rsidRPr="00F51EC1">
        <w:rPr>
          <w:i/>
          <w:iCs/>
        </w:rPr>
        <w:t>Sony, Skyworks Solutions Inc., LG Electronics</w:t>
      </w:r>
      <w:bookmarkEnd w:id="31"/>
    </w:p>
    <w:p w:rsidR="00F51EC1" w:rsidRPr="007824E0" w:rsidRDefault="00E551F1" w:rsidP="00E551F1">
      <w:pPr>
        <w:pStyle w:val="references"/>
        <w:numPr>
          <w:ilvl w:val="0"/>
          <w:numId w:val="7"/>
        </w:numPr>
        <w:tabs>
          <w:tab w:val="left" w:pos="1560"/>
        </w:tabs>
      </w:pPr>
      <w:bookmarkStart w:id="32" w:name="_Ref484164001"/>
      <w:r w:rsidRPr="00E551F1">
        <w:t>R4-168318</w:t>
      </w:r>
      <w:r>
        <w:tab/>
        <w:t>“</w:t>
      </w:r>
      <w:r w:rsidRPr="00E551F1">
        <w:t>On UE EIS Determination</w:t>
      </w:r>
      <w:r>
        <w:t xml:space="preserve">”, </w:t>
      </w:r>
      <w:r w:rsidRPr="00AE7E2D">
        <w:rPr>
          <w:i/>
          <w:iCs/>
        </w:rPr>
        <w:t>Qualcomm Incorporated</w:t>
      </w:r>
      <w:bookmarkEnd w:id="13"/>
      <w:bookmarkEnd w:id="14"/>
      <w:bookmarkEnd w:id="15"/>
      <w:bookmarkEnd w:id="16"/>
      <w:bookmarkEnd w:id="17"/>
      <w:bookmarkEnd w:id="18"/>
      <w:bookmarkEnd w:id="32"/>
    </w:p>
    <w:p w:rsidR="007824E0" w:rsidRDefault="007824E0" w:rsidP="007824E0">
      <w:pPr>
        <w:pStyle w:val="references"/>
        <w:numPr>
          <w:ilvl w:val="0"/>
          <w:numId w:val="7"/>
        </w:numPr>
        <w:tabs>
          <w:tab w:val="left" w:pos="1560"/>
        </w:tabs>
      </w:pPr>
      <w:bookmarkStart w:id="33" w:name="_Ref490147960"/>
      <w:r w:rsidRPr="006D300F">
        <w:t>R4-1707315</w:t>
      </w:r>
      <w:r>
        <w:tab/>
        <w:t>“</w:t>
      </w:r>
      <w:r w:rsidRPr="006D300F">
        <w:t>On UE EiRP measurements grid at &gt; 6 GHz</w:t>
      </w:r>
      <w:r>
        <w:t xml:space="preserve">”, </w:t>
      </w:r>
      <w:r w:rsidRPr="006D300F">
        <w:rPr>
          <w:i/>
          <w:lang w:val="en-GB"/>
        </w:rPr>
        <w:t>Sony Mobile</w:t>
      </w:r>
      <w:bookmarkEnd w:id="33"/>
    </w:p>
    <w:p w:rsidR="007824E0" w:rsidRPr="00E551F1" w:rsidRDefault="007824E0" w:rsidP="007824E0">
      <w:pPr>
        <w:pStyle w:val="references"/>
        <w:numPr>
          <w:ilvl w:val="0"/>
          <w:numId w:val="0"/>
        </w:numPr>
        <w:tabs>
          <w:tab w:val="left" w:pos="1560"/>
        </w:tabs>
        <w:ind w:left="360"/>
      </w:pPr>
    </w:p>
    <w:sectPr w:rsidR="007824E0" w:rsidRPr="00E551F1"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C78" w:rsidRDefault="00204C78">
      <w:r>
        <w:separator/>
      </w:r>
    </w:p>
  </w:endnote>
  <w:endnote w:type="continuationSeparator" w:id="0">
    <w:p w:rsidR="00204C78" w:rsidRDefault="0020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C78" w:rsidRDefault="00204C78">
      <w:r>
        <w:separator/>
      </w:r>
    </w:p>
  </w:footnote>
  <w:footnote w:type="continuationSeparator" w:id="0">
    <w:p w:rsidR="00204C78" w:rsidRDefault="00204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E8F8FC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6"/>
  </w:num>
  <w:num w:numId="5">
    <w:abstractNumId w:val="3"/>
  </w:num>
  <w:num w:numId="6">
    <w:abstractNumId w:val="14"/>
  </w:num>
  <w:num w:numId="7">
    <w:abstractNumId w:val="20"/>
  </w:num>
  <w:num w:numId="8">
    <w:abstractNumId w:val="1"/>
  </w:num>
  <w:num w:numId="9">
    <w:abstractNumId w:val="16"/>
  </w:num>
  <w:num w:numId="10">
    <w:abstractNumId w:val="13"/>
  </w:num>
  <w:num w:numId="11">
    <w:abstractNumId w:val="11"/>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0"/>
  </w:num>
  <w:num w:numId="17">
    <w:abstractNumId w:val="9"/>
  </w:num>
  <w:num w:numId="18">
    <w:abstractNumId w:val="1"/>
  </w:num>
  <w:num w:numId="19">
    <w:abstractNumId w:val="19"/>
  </w:num>
  <w:num w:numId="20">
    <w:abstractNumId w:val="4"/>
  </w:num>
  <w:num w:numId="21">
    <w:abstractNumId w:val="7"/>
  </w:num>
  <w:num w:numId="22">
    <w:abstractNumId w:val="12"/>
  </w:num>
  <w:num w:numId="23">
    <w:abstractNumId w:val="14"/>
  </w:num>
  <w:num w:numId="24">
    <w:abstractNumId w:val="18"/>
  </w:num>
  <w:num w:numId="25">
    <w:abstractNumId w:val="14"/>
  </w:num>
  <w:num w:numId="26">
    <w:abstractNumId w:val="1"/>
  </w:num>
  <w:num w:numId="27">
    <w:abstractNumId w:val="1"/>
  </w:num>
  <w:num w:numId="28">
    <w:abstractNumId w:val="1"/>
  </w:num>
  <w:num w:numId="29">
    <w:abstractNumId w:val="14"/>
  </w:num>
  <w:num w:numId="30">
    <w:abstractNumId w:val="14"/>
  </w:num>
  <w:num w:numId="31">
    <w:abstractNumId w:val="2"/>
  </w:num>
  <w:num w:numId="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4FCA"/>
    <w:rsid w:val="0004522E"/>
    <w:rsid w:val="000455AB"/>
    <w:rsid w:val="0004599A"/>
    <w:rsid w:val="000460A1"/>
    <w:rsid w:val="0004685F"/>
    <w:rsid w:val="00047837"/>
    <w:rsid w:val="00047A2E"/>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FEE"/>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B49"/>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3EFE"/>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553"/>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1684"/>
    <w:rsid w:val="002019BC"/>
    <w:rsid w:val="00201D42"/>
    <w:rsid w:val="002021DA"/>
    <w:rsid w:val="00202B68"/>
    <w:rsid w:val="00202F5B"/>
    <w:rsid w:val="002045C4"/>
    <w:rsid w:val="002046F9"/>
    <w:rsid w:val="00204C78"/>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A95"/>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87F"/>
    <w:rsid w:val="002B0A2B"/>
    <w:rsid w:val="002B13D3"/>
    <w:rsid w:val="002B13E5"/>
    <w:rsid w:val="002B1465"/>
    <w:rsid w:val="002B1710"/>
    <w:rsid w:val="002B1C5A"/>
    <w:rsid w:val="002B21B2"/>
    <w:rsid w:val="002B281A"/>
    <w:rsid w:val="002B2B8E"/>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149"/>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4C48"/>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233"/>
    <w:rsid w:val="0039666F"/>
    <w:rsid w:val="00396A49"/>
    <w:rsid w:val="003A02E5"/>
    <w:rsid w:val="003A0A05"/>
    <w:rsid w:val="003A1638"/>
    <w:rsid w:val="003A1F47"/>
    <w:rsid w:val="003A22D4"/>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6FC5"/>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5FB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732"/>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0ECF"/>
    <w:rsid w:val="00450F0D"/>
    <w:rsid w:val="00451EA9"/>
    <w:rsid w:val="004521E9"/>
    <w:rsid w:val="0045229C"/>
    <w:rsid w:val="0045297C"/>
    <w:rsid w:val="00452A5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526"/>
    <w:rsid w:val="004D5D3A"/>
    <w:rsid w:val="004D62AF"/>
    <w:rsid w:val="004D6609"/>
    <w:rsid w:val="004D66F7"/>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35A"/>
    <w:rsid w:val="005245E0"/>
    <w:rsid w:val="00524C96"/>
    <w:rsid w:val="00525669"/>
    <w:rsid w:val="00525703"/>
    <w:rsid w:val="00525B2A"/>
    <w:rsid w:val="0052664F"/>
    <w:rsid w:val="0052671F"/>
    <w:rsid w:val="00526963"/>
    <w:rsid w:val="005271CA"/>
    <w:rsid w:val="00527AAB"/>
    <w:rsid w:val="00527E4D"/>
    <w:rsid w:val="00527F3A"/>
    <w:rsid w:val="00530264"/>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931"/>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4F54"/>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394"/>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B76"/>
    <w:rsid w:val="006C6997"/>
    <w:rsid w:val="006C6D8C"/>
    <w:rsid w:val="006C6F87"/>
    <w:rsid w:val="006C70A4"/>
    <w:rsid w:val="006C72D7"/>
    <w:rsid w:val="006C7E4B"/>
    <w:rsid w:val="006D0656"/>
    <w:rsid w:val="006D0D19"/>
    <w:rsid w:val="006D1494"/>
    <w:rsid w:val="006D1837"/>
    <w:rsid w:val="006D194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AD1"/>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0D"/>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4E0"/>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4ABA"/>
    <w:rsid w:val="00795543"/>
    <w:rsid w:val="00795547"/>
    <w:rsid w:val="00795811"/>
    <w:rsid w:val="00795835"/>
    <w:rsid w:val="00795B34"/>
    <w:rsid w:val="007968EB"/>
    <w:rsid w:val="007971DC"/>
    <w:rsid w:val="0079799B"/>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8F"/>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1E9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1"/>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2466"/>
    <w:rsid w:val="009B2B2B"/>
    <w:rsid w:val="009B3028"/>
    <w:rsid w:val="009B3362"/>
    <w:rsid w:val="009B452B"/>
    <w:rsid w:val="009B45F9"/>
    <w:rsid w:val="009B46B5"/>
    <w:rsid w:val="009B4B93"/>
    <w:rsid w:val="009B4E0E"/>
    <w:rsid w:val="009B5583"/>
    <w:rsid w:val="009B5A61"/>
    <w:rsid w:val="009B63A0"/>
    <w:rsid w:val="009B693A"/>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6D0D"/>
    <w:rsid w:val="00A070D0"/>
    <w:rsid w:val="00A07241"/>
    <w:rsid w:val="00A0740B"/>
    <w:rsid w:val="00A07B67"/>
    <w:rsid w:val="00A101CA"/>
    <w:rsid w:val="00A103AF"/>
    <w:rsid w:val="00A10622"/>
    <w:rsid w:val="00A10D85"/>
    <w:rsid w:val="00A12C6B"/>
    <w:rsid w:val="00A1360B"/>
    <w:rsid w:val="00A136D0"/>
    <w:rsid w:val="00A13865"/>
    <w:rsid w:val="00A13903"/>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91D"/>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1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3B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14"/>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0D63"/>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57EA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7F8"/>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3EFA"/>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2A8"/>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51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70C"/>
    <w:rsid w:val="00CC39BC"/>
    <w:rsid w:val="00CC3D59"/>
    <w:rsid w:val="00CC42E6"/>
    <w:rsid w:val="00CC4E09"/>
    <w:rsid w:val="00CC525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5DC"/>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5322"/>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41D"/>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764"/>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6E78"/>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413"/>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0A4"/>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270"/>
    <w:rsid w:val="00F15311"/>
    <w:rsid w:val="00F1531D"/>
    <w:rsid w:val="00F15651"/>
    <w:rsid w:val="00F15746"/>
    <w:rsid w:val="00F15DAF"/>
    <w:rsid w:val="00F15ED9"/>
    <w:rsid w:val="00F16094"/>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6A1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65D1"/>
    <w:rsid w:val="00FD7061"/>
    <w:rsid w:val="00FD7200"/>
    <w:rsid w:val="00FD7340"/>
    <w:rsid w:val="00FD7959"/>
    <w:rsid w:val="00FE0924"/>
    <w:rsid w:val="00FE0F57"/>
    <w:rsid w:val="00FE16EC"/>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1571"/>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23BA-EF19-4E08-8D8F-79820963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10</cp:revision>
  <cp:lastPrinted>2017-05-03T15:25:00Z</cp:lastPrinted>
  <dcterms:created xsi:type="dcterms:W3CDTF">2017-09-11T13:33:00Z</dcterms:created>
  <dcterms:modified xsi:type="dcterms:W3CDTF">2017-09-11T16:18:00Z</dcterms:modified>
</cp:coreProperties>
</file>